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6E757" w14:textId="77777777" w:rsidR="00355316" w:rsidRDefault="00355316">
      <w:pPr>
        <w:ind w:left="5103"/>
        <w:outlineLvl w:val="0"/>
        <w:rPr>
          <w:bCs/>
          <w:sz w:val="28"/>
          <w:szCs w:val="28"/>
          <w:lang w:eastAsia="ru-RU"/>
        </w:rPr>
      </w:pPr>
    </w:p>
    <w:p w14:paraId="6195F45B" w14:textId="77777777" w:rsidR="00355316" w:rsidRDefault="005170DA">
      <w:pPr>
        <w:ind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ЗАТВЕРДЖЕНО</w:t>
      </w:r>
    </w:p>
    <w:p w14:paraId="50CC3BB9" w14:textId="77777777" w:rsidR="00355316" w:rsidRDefault="005170DA">
      <w:pPr>
        <w:ind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</w:t>
      </w:r>
    </w:p>
    <w:p w14:paraId="461BFAEE" w14:textId="77777777" w:rsidR="00355316" w:rsidRDefault="005170DA">
      <w:pPr>
        <w:ind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Рішення виконавчого комітету</w:t>
      </w:r>
    </w:p>
    <w:p w14:paraId="3A764451" w14:textId="77777777" w:rsidR="00355316" w:rsidRDefault="005170DA">
      <w:pPr>
        <w:ind w:left="5103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Покровської міської ради</w:t>
      </w:r>
    </w:p>
    <w:p w14:paraId="6627B8AE" w14:textId="29AD304E" w:rsidR="00355316" w:rsidRDefault="005170DA">
      <w:pPr>
        <w:ind w:left="5103"/>
      </w:pPr>
      <w:r>
        <w:rPr>
          <w:sz w:val="28"/>
          <w:szCs w:val="28"/>
          <w:lang w:eastAsia="ru-RU"/>
        </w:rPr>
        <w:t xml:space="preserve">         </w:t>
      </w:r>
      <w:r w:rsidR="008D1EEC" w:rsidRPr="008D1EEC">
        <w:rPr>
          <w:sz w:val="28"/>
          <w:szCs w:val="28"/>
          <w:u w:val="single"/>
          <w:lang w:eastAsia="ru-RU"/>
        </w:rPr>
        <w:t>24.10.</w:t>
      </w:r>
      <w:r w:rsidRPr="008D1EEC">
        <w:rPr>
          <w:sz w:val="28"/>
          <w:szCs w:val="28"/>
          <w:u w:val="single"/>
          <w:lang w:eastAsia="ru-RU"/>
        </w:rPr>
        <w:t>2024</w:t>
      </w:r>
      <w:r>
        <w:rPr>
          <w:sz w:val="28"/>
          <w:szCs w:val="28"/>
          <w:lang w:eastAsia="ru-RU"/>
        </w:rPr>
        <w:t xml:space="preserve"> </w:t>
      </w:r>
      <w:r w:rsidR="008D1E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="008D1EEC" w:rsidRPr="008D1EEC">
        <w:rPr>
          <w:sz w:val="28"/>
          <w:szCs w:val="28"/>
          <w:u w:val="single"/>
          <w:lang w:eastAsia="ru-RU"/>
        </w:rPr>
        <w:t>741/06-53-24</w:t>
      </w:r>
    </w:p>
    <w:p w14:paraId="1CE4E293" w14:textId="77777777" w:rsidR="00355316" w:rsidRDefault="00355316">
      <w:pPr>
        <w:pStyle w:val="ae"/>
        <w:spacing w:after="0" w:line="288" w:lineRule="auto"/>
        <w:jc w:val="center"/>
        <w:rPr>
          <w:b/>
          <w:color w:val="000000"/>
          <w:sz w:val="28"/>
        </w:rPr>
      </w:pPr>
    </w:p>
    <w:p w14:paraId="13D4E271" w14:textId="77777777" w:rsidR="00355316" w:rsidRDefault="005170DA">
      <w:pPr>
        <w:pStyle w:val="ae"/>
        <w:spacing w:after="0" w:line="28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ПОЛОЖЕННЯ</w:t>
      </w:r>
      <w:bookmarkStart w:id="0" w:name="_GoBack"/>
      <w:bookmarkEnd w:id="0"/>
    </w:p>
    <w:p w14:paraId="68FFD600" w14:textId="77777777" w:rsidR="00355316" w:rsidRDefault="005170DA">
      <w:pPr>
        <w:pStyle w:val="ae"/>
        <w:spacing w:after="0" w:line="288" w:lineRule="auto"/>
        <w:jc w:val="center"/>
      </w:pPr>
      <w:r>
        <w:rPr>
          <w:b/>
          <w:color w:val="000000"/>
          <w:sz w:val="28"/>
        </w:rPr>
        <w:t xml:space="preserve">щодо впровадження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</w:t>
      </w:r>
      <w:r>
        <w:rPr>
          <w:b/>
          <w:bCs/>
          <w:color w:val="000000"/>
          <w:sz w:val="28"/>
        </w:rPr>
        <w:t xml:space="preserve">Закону України </w:t>
      </w:r>
      <w:r>
        <w:rPr>
          <w:b/>
          <w:color w:val="000000"/>
          <w:sz w:val="28"/>
        </w:rPr>
        <w:t xml:space="preserve">“Про запобігання корупції” 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szCs w:val="28"/>
          <w:lang w:eastAsia="uk-UA"/>
        </w:rPr>
        <w:t>у Покровській міській раді її виконавчому комітеті та</w:t>
      </w:r>
    </w:p>
    <w:p w14:paraId="39C1ACBF" w14:textId="77777777" w:rsidR="00355316" w:rsidRDefault="005170DA">
      <w:pPr>
        <w:pStyle w:val="ae"/>
        <w:spacing w:after="0" w:line="288" w:lineRule="auto"/>
        <w:jc w:val="center"/>
      </w:pPr>
      <w:r>
        <w:rPr>
          <w:b/>
          <w:bCs/>
          <w:color w:val="000000"/>
          <w:sz w:val="28"/>
          <w:szCs w:val="28"/>
          <w:lang w:eastAsia="uk-UA"/>
        </w:rPr>
        <w:t>підпорядкованих структурних підрозділах, що входять до сфери управління Покровської міської ради та її виконавчого комітету</w:t>
      </w:r>
    </w:p>
    <w:p w14:paraId="560CE0B2" w14:textId="77777777" w:rsidR="00355316" w:rsidRDefault="00355316">
      <w:pPr>
        <w:pStyle w:val="ae"/>
        <w:spacing w:after="0" w:line="288" w:lineRule="auto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4714E72D" w14:textId="77777777" w:rsidR="00355316" w:rsidRDefault="005170DA">
      <w:pPr>
        <w:pStyle w:val="ae"/>
        <w:spacing w:after="0" w:line="288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І. Загальні положення</w:t>
      </w:r>
    </w:p>
    <w:p w14:paraId="07F59360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color w:val="000000"/>
          <w:sz w:val="28"/>
        </w:rPr>
        <w:t xml:space="preserve">1.1. Положення щодо впровадження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“Про запобігання корупції” </w:t>
      </w:r>
      <w:r>
        <w:rPr>
          <w:color w:val="000000"/>
          <w:sz w:val="28"/>
          <w:szCs w:val="28"/>
          <w:lang w:eastAsia="uk-UA"/>
        </w:rPr>
        <w:t>у Покровській міській раді її виконавчому комітеті та підпорядкованих структурних підрозділах, що входять до сфери управління Покровської міської ради та її виконавчого комітету</w:t>
      </w:r>
      <w:r>
        <w:rPr>
          <w:color w:val="000000"/>
          <w:sz w:val="28"/>
        </w:rPr>
        <w:t xml:space="preserve"> (далі – Положення) розроблено з метою впровадження </w:t>
      </w:r>
      <w:r>
        <w:rPr>
          <w:color w:val="000000"/>
          <w:sz w:val="28"/>
          <w:szCs w:val="28"/>
        </w:rPr>
        <w:t>у  виконавчому комітеті Покровської міської ради та підпорядкованих структурних підрозділах</w:t>
      </w:r>
      <w:r>
        <w:rPr>
          <w:sz w:val="28"/>
          <w:szCs w:val="28"/>
        </w:rPr>
        <w:t xml:space="preserve">, що </w:t>
      </w:r>
      <w:r>
        <w:rPr>
          <w:color w:val="000000"/>
          <w:sz w:val="28"/>
          <w:szCs w:val="28"/>
        </w:rPr>
        <w:t xml:space="preserve">входять до сфери управління Покровської міської ради та її виконавчого комітету </w:t>
      </w:r>
      <w:r>
        <w:rPr>
          <w:rFonts w:eastAsia="Calibri"/>
          <w:color w:val="000000"/>
          <w:sz w:val="28"/>
          <w:szCs w:val="28"/>
        </w:rPr>
        <w:t>(далі - Установи)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механізмів заохочення, формування культури уявлення про належне повідомлення про корупцію, поваги до викривачів які повідомили про можливі факти корупційних або пов’язаних з корупцією правопорушень, інших порушень Закону України «Про запобігання корупції» (далі Закон).</w:t>
      </w:r>
    </w:p>
    <w:p w14:paraId="73237E2C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rFonts w:eastAsia="Calibri"/>
          <w:color w:val="000000"/>
          <w:sz w:val="28"/>
          <w:szCs w:val="28"/>
        </w:rPr>
        <w:t>1.2. Установи</w:t>
      </w:r>
      <w:r>
        <w:rPr>
          <w:color w:val="000000"/>
          <w:sz w:val="28"/>
        </w:rPr>
        <w:t xml:space="preserve"> заохочують викривачів та сприяють їм у повідомленні про можливі факти корупційних або пов’язаних з корупцією правопорушень, інших порушень Закону України «Про запобігання корупції».</w:t>
      </w:r>
    </w:p>
    <w:p w14:paraId="33AC55F2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color w:val="000000"/>
          <w:sz w:val="28"/>
        </w:rPr>
        <w:t xml:space="preserve">1.3. Це Положення поширюється на всіх працівників </w:t>
      </w:r>
      <w:r>
        <w:rPr>
          <w:rFonts w:eastAsia="Calibri"/>
          <w:color w:val="000000"/>
          <w:sz w:val="28"/>
          <w:szCs w:val="28"/>
        </w:rPr>
        <w:t>Установ</w:t>
      </w:r>
      <w:r>
        <w:rPr>
          <w:color w:val="000000"/>
          <w:sz w:val="28"/>
        </w:rPr>
        <w:t>. Особа, яка повідомить інформацію, що є загальновідомою, або відомості, зазначені у повідомленні, не містять фактичних даних, не є викривачем.</w:t>
      </w:r>
    </w:p>
    <w:p w14:paraId="7569F768" w14:textId="77777777" w:rsidR="00355316" w:rsidRDefault="00355316">
      <w:pPr>
        <w:pStyle w:val="ae"/>
        <w:rPr>
          <w:b/>
          <w:bCs/>
          <w:color w:val="000000"/>
          <w:sz w:val="28"/>
          <w:szCs w:val="28"/>
          <w:lang w:eastAsia="uk-UA"/>
        </w:rPr>
      </w:pPr>
    </w:p>
    <w:p w14:paraId="7D455075" w14:textId="77777777" w:rsidR="00355316" w:rsidRDefault="005170DA">
      <w:pPr>
        <w:pStyle w:val="ae"/>
        <w:spacing w:after="0" w:line="288" w:lineRule="auto"/>
        <w:ind w:firstLine="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ІІ. Мета заохочення та формування культури повідомлення</w:t>
      </w:r>
    </w:p>
    <w:p w14:paraId="672C861F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Метою заохочення та формування культури повідомлення є сприяння працівникам Установ виявляти та повідомляти про можливі факти корупційних або пов’язаних з корупцією правопорушень, інших порушень Закону, вчинених іншими працівниками, що має призвести до формування у них:</w:t>
      </w:r>
    </w:p>
    <w:p w14:paraId="32224993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переконання, що корупція є суспільно шкідливим явищем;</w:t>
      </w:r>
    </w:p>
    <w:p w14:paraId="686D5EF9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нульової толерантності до корупції;</w:t>
      </w:r>
    </w:p>
    <w:p w14:paraId="46E156BD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розуміння сутності корупції, типових форм корупційних проявів та корупційних ситуацій;</w:t>
      </w:r>
    </w:p>
    <w:p w14:paraId="4DC97A29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поваги до викривачів як сталої норми та частини корпоративної культури  у   виконавчому комітеті Покровської міської ради та підпорядкованих структурних підрозділах, що входять до сфери управління Покровської міської ради та її виконавчого комітету.</w:t>
      </w:r>
    </w:p>
    <w:p w14:paraId="45604725" w14:textId="77777777" w:rsidR="00355316" w:rsidRDefault="00355316">
      <w:pPr>
        <w:pStyle w:val="ae"/>
        <w:spacing w:after="0" w:line="288" w:lineRule="auto"/>
        <w:ind w:firstLine="851"/>
        <w:jc w:val="both"/>
        <w:rPr>
          <w:b/>
          <w:bCs/>
          <w:color w:val="000000"/>
          <w:sz w:val="20"/>
          <w:szCs w:val="20"/>
          <w:lang w:eastAsia="uk-UA"/>
        </w:rPr>
      </w:pPr>
    </w:p>
    <w:p w14:paraId="19961E86" w14:textId="77777777" w:rsidR="00355316" w:rsidRDefault="005170DA">
      <w:pPr>
        <w:pStyle w:val="ae"/>
        <w:spacing w:after="0" w:line="288" w:lineRule="auto"/>
        <w:ind w:firstLine="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ІІІ. Формування культури повідомлення та форми заохочення</w:t>
      </w:r>
    </w:p>
    <w:p w14:paraId="2F1DCA7B" w14:textId="77777777" w:rsidR="00355316" w:rsidRDefault="005170DA">
      <w:pPr>
        <w:pStyle w:val="ae"/>
        <w:spacing w:after="0" w:line="288" w:lineRule="auto"/>
        <w:jc w:val="both"/>
      </w:pPr>
      <w:r>
        <w:rPr>
          <w:color w:val="000000"/>
          <w:sz w:val="28"/>
        </w:rPr>
        <w:tab/>
        <w:t xml:space="preserve"> 3.1. Механізми заохочення повідомлення реалізуються у  формах:</w:t>
      </w:r>
    </w:p>
    <w:p w14:paraId="24ED9552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надання методичної допомоги та консультацій щодо здійснення повідомлення;</w:t>
      </w:r>
    </w:p>
    <w:p w14:paraId="49862CF3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впровадження морального та матеріального заохочення викривачів.</w:t>
      </w:r>
    </w:p>
    <w:p w14:paraId="3B774F07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3.2. Механізми формування культури реалізуються засобами:</w:t>
      </w:r>
    </w:p>
    <w:p w14:paraId="6B1F96D5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проведення внутрішніх навчань з питань формування культури повідомлення;</w:t>
      </w:r>
    </w:p>
    <w:p w14:paraId="35EA5AAC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проведення комунікаційної кампанії та систематичне здійснення просвітницьких заходів.</w:t>
      </w:r>
    </w:p>
    <w:p w14:paraId="7AA54489" w14:textId="77777777" w:rsidR="00355316" w:rsidRDefault="005170DA">
      <w:pPr>
        <w:pStyle w:val="ae"/>
        <w:spacing w:after="0" w:line="288" w:lineRule="auto"/>
        <w:jc w:val="both"/>
      </w:pPr>
      <w:r>
        <w:rPr>
          <w:color w:val="000000"/>
          <w:sz w:val="28"/>
        </w:rPr>
        <w:tab/>
        <w:t>3.3. Працівник Установи, якому стала відома інформація про можливі факти корупційних або пов’язаних з корупцією правопорушень, інших порушень Закону, вчинених іншим працівником, зобов’язаний негайно, протягом 24 годин повідомити про це письмово міського голову та відділ з питань запобігання та протидії корупції виконавчого комітету Покровської міської ради.</w:t>
      </w:r>
    </w:p>
    <w:p w14:paraId="3143239F" w14:textId="77777777" w:rsidR="00355316" w:rsidRDefault="00355316">
      <w:pPr>
        <w:pStyle w:val="ae"/>
        <w:spacing w:after="0" w:line="288" w:lineRule="auto"/>
        <w:ind w:firstLine="851"/>
        <w:jc w:val="both"/>
        <w:rPr>
          <w:b/>
          <w:bCs/>
          <w:color w:val="000000"/>
          <w:sz w:val="20"/>
          <w:szCs w:val="20"/>
          <w:lang w:eastAsia="uk-UA"/>
        </w:rPr>
      </w:pPr>
    </w:p>
    <w:p w14:paraId="77BA5B4E" w14:textId="77777777" w:rsidR="00355316" w:rsidRDefault="005170DA">
      <w:pPr>
        <w:pStyle w:val="ae"/>
        <w:spacing w:after="0" w:line="288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ІV. Організаційні засади механізмів заохочення повідомлення </w:t>
      </w:r>
    </w:p>
    <w:p w14:paraId="434DC9A7" w14:textId="77777777" w:rsidR="00355316" w:rsidRDefault="005170DA">
      <w:pPr>
        <w:pStyle w:val="ae"/>
        <w:spacing w:after="0" w:line="288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та формування культури повідомлення</w:t>
      </w:r>
    </w:p>
    <w:p w14:paraId="1A3DF180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4.1. Організаційне забезпечення функціонування механізму заохочення здійснює відділ з питань запобігання та протидії корупції виконавчого комітету Покровської міської ради шляхом:</w:t>
      </w:r>
    </w:p>
    <w:p w14:paraId="55666935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щодо механізму заохочення:</w:t>
      </w:r>
    </w:p>
    <w:p w14:paraId="54DEE873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color w:val="000000"/>
          <w:sz w:val="28"/>
        </w:rPr>
        <w:lastRenderedPageBreak/>
        <w:t>- організації ефективної роботи каналів повідомлення Установи;</w:t>
      </w:r>
    </w:p>
    <w:p w14:paraId="06886796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якісного та своєчасного розгляду повідомлень, що надійшли;</w:t>
      </w:r>
    </w:p>
    <w:p w14:paraId="39FA96DF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color w:val="000000"/>
          <w:sz w:val="28"/>
        </w:rPr>
        <w:t>- постійної взаємодії з викривачами та інформування їх про стан та результати розгляду повідомлень;</w:t>
      </w:r>
    </w:p>
    <w:p w14:paraId="5D7AB763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-надання методичної допомоги, консультацій щодо здійснення повідомлень та захисту викривачів;</w:t>
      </w:r>
    </w:p>
    <w:p w14:paraId="47DA2AA7" w14:textId="77777777" w:rsidR="00355316" w:rsidRDefault="005170DA">
      <w:pPr>
        <w:pStyle w:val="ae"/>
        <w:spacing w:after="0" w:line="288" w:lineRule="auto"/>
        <w:jc w:val="both"/>
      </w:pPr>
      <w:r>
        <w:rPr>
          <w:color w:val="000000"/>
          <w:sz w:val="28"/>
        </w:rPr>
        <w:t xml:space="preserve">       - розміщення на офіційному </w:t>
      </w:r>
      <w:proofErr w:type="spellStart"/>
      <w:r>
        <w:rPr>
          <w:color w:val="000000"/>
          <w:sz w:val="28"/>
        </w:rPr>
        <w:t>вебсайті</w:t>
      </w:r>
      <w:proofErr w:type="spellEnd"/>
      <w:r>
        <w:rPr>
          <w:color w:val="000000"/>
          <w:sz w:val="28"/>
        </w:rPr>
        <w:t xml:space="preserve"> та інформаційних дошках Установи інформації про канали повідомлення;</w:t>
      </w:r>
    </w:p>
    <w:p w14:paraId="17A332C5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- проведення самооцінки впровадження системних заходів, спрямованих на заохочення та формування культури повідомлення;</w:t>
      </w:r>
    </w:p>
    <w:p w14:paraId="6ADF6AD5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щодо формування культури повідомлення: </w:t>
      </w:r>
    </w:p>
    <w:p w14:paraId="18126139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-  послідовної та систематичної роботи щодо запобігання корупції всередині Установ;</w:t>
      </w:r>
    </w:p>
    <w:p w14:paraId="1428744B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- неприпустимості всіх видів корупційних практик всередині Установ;</w:t>
      </w:r>
    </w:p>
    <w:p w14:paraId="6F0217A4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-об’єктивного та неупередженого реагування на кожне обґрунтоване повідомлення про корупцію;</w:t>
      </w:r>
    </w:p>
    <w:p w14:paraId="3E51E9D6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- забезпечення конфіденційності при взаємодії із викривачами;</w:t>
      </w:r>
    </w:p>
    <w:p w14:paraId="678488F0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- прийняття найбільш сприятливого для викривача рішення у повсякденній діяльності Установ в межах дискреційних повноважень;</w:t>
      </w:r>
    </w:p>
    <w:p w14:paraId="628642FD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- негайного реагування на всі негативні заходи впливу або загрозу їх застосування щодо викривачів.</w:t>
      </w:r>
    </w:p>
    <w:p w14:paraId="53C4E203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4.2. Система заохочень викривачів поєднує застосування до викривачів моральних та матеріальних стимулів:</w:t>
      </w:r>
    </w:p>
    <w:p w14:paraId="431F81D4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моральне стимулювання здійснюватися шляхом оголошення подяки, нагородження грамотою, без розкриття у документі про застосування заходу заохочення дійсних підстав заохочення, за винятком випадків, коли викривач надав письмову згоду на розкриття інформації про його особу. Моральне заохочення ґрунтується на особистій зацікавленості викривача у визнанні його ролі у викритті корупції;</w:t>
      </w:r>
    </w:p>
    <w:p w14:paraId="2AC47BB5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color w:val="000000"/>
          <w:sz w:val="28"/>
        </w:rPr>
        <w:t>- матеріальне заохочення може здійснюватися шляхом виплати премії, дострокового присвоєння рангу (посадовим особам). Матеріальне стимулювання працівників здійснюється в межах фонду оплати праці та чинного законодавства.</w:t>
      </w:r>
    </w:p>
    <w:p w14:paraId="4ECA927D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4.3. Матеріальне стимулювання можливе лише за дотримання таких умов:</w:t>
      </w:r>
    </w:p>
    <w:p w14:paraId="4C62A70B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повідомлення про корупцію скеровано працівником добровільно;</w:t>
      </w:r>
    </w:p>
    <w:p w14:paraId="7FAF1E78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виплата заохочення не спричинить розкриття особи викривача.</w:t>
      </w:r>
    </w:p>
    <w:p w14:paraId="7C30DAC0" w14:textId="77777777" w:rsidR="00355316" w:rsidRDefault="005170DA">
      <w:pPr>
        <w:pStyle w:val="ae"/>
        <w:spacing w:after="0" w:line="288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Термін «добровільно» означає те, що особа прийняла рішення без впливу зовнішніх факторів, таких як проведення стосовно заявника службової перевірки чи службового розслідування тощо.</w:t>
      </w:r>
    </w:p>
    <w:p w14:paraId="7944ED02" w14:textId="77777777" w:rsidR="00355316" w:rsidRDefault="00355316">
      <w:pPr>
        <w:pStyle w:val="ae"/>
        <w:spacing w:after="0" w:line="288" w:lineRule="auto"/>
        <w:ind w:firstLine="851"/>
        <w:jc w:val="both"/>
        <w:rPr>
          <w:b/>
          <w:bCs/>
          <w:color w:val="000000"/>
          <w:sz w:val="28"/>
          <w:szCs w:val="28"/>
          <w:lang w:eastAsia="uk-UA"/>
        </w:rPr>
      </w:pPr>
    </w:p>
    <w:p w14:paraId="64457044" w14:textId="77777777" w:rsidR="00355316" w:rsidRDefault="005170DA">
      <w:pPr>
        <w:pStyle w:val="ae"/>
        <w:spacing w:after="0" w:line="288" w:lineRule="auto"/>
        <w:ind w:firstLine="85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V. Права та гарантії захисту працівників - як викривачів</w:t>
      </w:r>
    </w:p>
    <w:p w14:paraId="56F0DB5C" w14:textId="77777777" w:rsidR="00355316" w:rsidRDefault="005170DA">
      <w:pPr>
        <w:pStyle w:val="ae"/>
        <w:spacing w:after="0" w:line="288" w:lineRule="auto"/>
        <w:ind w:firstLine="851"/>
        <w:jc w:val="both"/>
      </w:pPr>
      <w:r>
        <w:rPr>
          <w:color w:val="000000"/>
          <w:sz w:val="28"/>
        </w:rPr>
        <w:t>5.1. Працівник, який є викривачем, має права та гарантії захисту. Крім передбачених Законом гарантій захисту викривача, у зв’язку із здійсненим повідомленням, з метою захисту викривача Установи додатково вживають заходів для попередження дискримінації викривача, порівняно з іншими працівниками, недопущення зміни посадових обов’язків, залякування чи будь-яких інших форм психологічного впливу. Будь-яке повідомлення є конфіденційним, навіть якщо особа не є викривачем в розумінні норм Закону. Розкриття (розголошення) інформації про викривача заборонено, крім випадків, встановлених Законом.</w:t>
      </w:r>
    </w:p>
    <w:p w14:paraId="711C3F85" w14:textId="77777777" w:rsidR="00355316" w:rsidRDefault="005170DA">
      <w:pPr>
        <w:pStyle w:val="ae"/>
        <w:spacing w:after="0"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5.2. Установи зобов’язані перевіряти кожен факт розкриття (розголошення) конфіденційної інформації про особу, що здійснила повідомлення, та вжити заходів щодо притягнення до відповідальності винних осіб.</w:t>
      </w:r>
    </w:p>
    <w:p w14:paraId="63BDCF1F" w14:textId="77777777" w:rsidR="00355316" w:rsidRDefault="00355316">
      <w:pPr>
        <w:pStyle w:val="ae"/>
        <w:spacing w:after="0" w:line="288" w:lineRule="auto"/>
        <w:ind w:firstLine="851"/>
        <w:jc w:val="both"/>
        <w:rPr>
          <w:b/>
          <w:bCs/>
          <w:color w:val="000000"/>
          <w:sz w:val="28"/>
          <w:szCs w:val="28"/>
          <w:lang w:eastAsia="uk-UA"/>
        </w:rPr>
      </w:pPr>
    </w:p>
    <w:p w14:paraId="03BFB135" w14:textId="77777777" w:rsidR="00355316" w:rsidRDefault="00355316">
      <w:pPr>
        <w:pStyle w:val="ae"/>
        <w:spacing w:after="0" w:line="288" w:lineRule="auto"/>
        <w:ind w:firstLine="851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BFDE2AB" w14:textId="77777777" w:rsidR="00355316" w:rsidRDefault="005170DA">
      <w:pPr>
        <w:spacing w:before="6" w:after="6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Начальник відділу </w:t>
      </w:r>
    </w:p>
    <w:p w14:paraId="05ED9E9B" w14:textId="77777777" w:rsidR="00355316" w:rsidRDefault="005170DA">
      <w:pPr>
        <w:spacing w:line="170" w:lineRule="atLeast"/>
        <w:jc w:val="both"/>
      </w:pPr>
      <w:r>
        <w:rPr>
          <w:sz w:val="28"/>
          <w:szCs w:val="28"/>
          <w:lang w:eastAsia="uk-UA"/>
        </w:rPr>
        <w:t>з питань запобігання та протидії корупції                                  Тетяна ГОРЧАКОВА</w:t>
      </w:r>
    </w:p>
    <w:p w14:paraId="07EA43C1" w14:textId="77777777" w:rsidR="00355316" w:rsidRDefault="00355316">
      <w:pPr>
        <w:spacing w:line="170" w:lineRule="atLeast"/>
        <w:jc w:val="both"/>
      </w:pPr>
    </w:p>
    <w:p w14:paraId="4135F35E" w14:textId="77777777" w:rsidR="00355316" w:rsidRDefault="00355316">
      <w:pPr>
        <w:spacing w:line="170" w:lineRule="atLeast"/>
        <w:jc w:val="both"/>
      </w:pPr>
    </w:p>
    <w:p w14:paraId="4DC63616" w14:textId="77777777" w:rsidR="00355316" w:rsidRDefault="00355316">
      <w:pPr>
        <w:spacing w:line="170" w:lineRule="atLeast"/>
        <w:jc w:val="both"/>
      </w:pPr>
    </w:p>
    <w:p w14:paraId="4815DB22" w14:textId="77777777" w:rsidR="00355316" w:rsidRDefault="00355316">
      <w:pPr>
        <w:spacing w:line="170" w:lineRule="atLeast"/>
        <w:jc w:val="both"/>
      </w:pPr>
    </w:p>
    <w:p w14:paraId="09848BD6" w14:textId="77777777" w:rsidR="00355316" w:rsidRDefault="00355316">
      <w:pPr>
        <w:spacing w:line="170" w:lineRule="atLeast"/>
        <w:jc w:val="both"/>
      </w:pPr>
    </w:p>
    <w:p w14:paraId="3CF5341C" w14:textId="77777777" w:rsidR="00355316" w:rsidRDefault="00355316">
      <w:pPr>
        <w:spacing w:line="170" w:lineRule="atLeast"/>
        <w:jc w:val="both"/>
      </w:pPr>
    </w:p>
    <w:p w14:paraId="25DCE5D3" w14:textId="77777777" w:rsidR="00355316" w:rsidRDefault="00355316">
      <w:pPr>
        <w:spacing w:line="170" w:lineRule="atLeast"/>
        <w:jc w:val="both"/>
      </w:pPr>
    </w:p>
    <w:p w14:paraId="2669865A" w14:textId="77777777" w:rsidR="00355316" w:rsidRDefault="00355316">
      <w:pPr>
        <w:spacing w:line="170" w:lineRule="atLeast"/>
        <w:jc w:val="both"/>
      </w:pPr>
    </w:p>
    <w:p w14:paraId="3953F51A" w14:textId="77777777" w:rsidR="00355316" w:rsidRDefault="00355316">
      <w:pPr>
        <w:spacing w:line="170" w:lineRule="atLeast"/>
        <w:jc w:val="both"/>
        <w:rPr>
          <w:sz w:val="28"/>
          <w:szCs w:val="28"/>
          <w:lang w:eastAsia="uk-UA"/>
        </w:rPr>
      </w:pPr>
    </w:p>
    <w:sectPr w:rsidR="00355316">
      <w:pgSz w:w="12240" w:h="15840"/>
      <w:pgMar w:top="1020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16"/>
    <w:rsid w:val="00355316"/>
    <w:rsid w:val="005170DA"/>
    <w:rsid w:val="008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0BF7"/>
  <w15:docId w15:val="{6DE6F41D-EE38-44F9-8D97-83BC5A8D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uiPriority w:val="9"/>
    <w:semiHidden/>
    <w:unhideWhenUsed/>
    <w:qFormat/>
    <w:pPr>
      <w:spacing w:before="280" w:after="280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rvts13">
    <w:name w:val="rvts13"/>
    <w:basedOn w:val="a0"/>
    <w:qFormat/>
  </w:style>
  <w:style w:type="character" w:customStyle="1" w:styleId="FooterChar">
    <w:name w:val="Footer Char"/>
    <w:basedOn w:val="a0"/>
    <w:qFormat/>
    <w:rPr>
      <w:rFonts w:ascii="Times New Roman" w:eastAsia="Times New Roman" w:hAnsi="Times New Roman" w:cs="Times New Roman"/>
    </w:rPr>
  </w:style>
  <w:style w:type="character" w:styleId="a4">
    <w:name w:val="page number"/>
    <w:basedOn w:val="a0"/>
    <w:qFormat/>
  </w:style>
  <w:style w:type="character" w:customStyle="1" w:styleId="HeaderChar">
    <w:name w:val="Header Char"/>
    <w:basedOn w:val="a0"/>
    <w:qFormat/>
    <w:rPr>
      <w:rFonts w:ascii="Times New Roman" w:eastAsia="Times New Roman" w:hAnsi="Times New Roman" w:cs="Times New Roman"/>
    </w:rPr>
  </w:style>
  <w:style w:type="character" w:customStyle="1" w:styleId="rvts37">
    <w:name w:val="rvts37"/>
    <w:basedOn w:val="a0"/>
    <w:qFormat/>
  </w:style>
  <w:style w:type="character" w:customStyle="1" w:styleId="BalloonTextChar">
    <w:name w:val="Balloon Text Char"/>
    <w:basedOn w:val="a0"/>
    <w:qFormat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annotation reference"/>
    <w:basedOn w:val="a0"/>
    <w:qFormat/>
    <w:rPr>
      <w:sz w:val="16"/>
      <w:szCs w:val="16"/>
    </w:rPr>
  </w:style>
  <w:style w:type="character" w:customStyle="1" w:styleId="CommentTextChar">
    <w:name w:val="Comment Text Char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a0"/>
    <w:qFormat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rvts15">
    <w:name w:val="rvts15"/>
    <w:qFormat/>
    <w:rPr>
      <w:rFonts w:cs="Times New Roman"/>
    </w:rPr>
  </w:style>
  <w:style w:type="character" w:customStyle="1" w:styleId="rvts11">
    <w:name w:val="rvts11"/>
    <w:qFormat/>
    <w:rPr>
      <w:rFonts w:cs="Times New Roman"/>
    </w:rPr>
  </w:style>
  <w:style w:type="character" w:customStyle="1" w:styleId="30">
    <w:name w:val="Основной текст (3)_"/>
    <w:qFormat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FootnoteTextChar">
    <w:name w:val="Footnote Text Char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Символи виноски"/>
    <w:qFormat/>
  </w:style>
  <w:style w:type="character" w:styleId="a8">
    <w:name w:val="endnote reference"/>
    <w:rPr>
      <w:vertAlign w:val="superscript"/>
    </w:rPr>
  </w:style>
  <w:style w:type="character" w:customStyle="1" w:styleId="a9">
    <w:name w:val="Символи кінцевої виноски"/>
    <w:qFormat/>
  </w:style>
  <w:style w:type="character" w:customStyle="1" w:styleId="rvts0">
    <w:name w:val="rvts0"/>
    <w:basedOn w:val="a0"/>
    <w:qFormat/>
  </w:style>
  <w:style w:type="character" w:styleId="aa">
    <w:name w:val="Emphasis"/>
    <w:qFormat/>
    <w:rPr>
      <w:i/>
      <w:iCs/>
    </w:rPr>
  </w:style>
  <w:style w:type="character" w:customStyle="1" w:styleId="DefaultParagraphFontWW">
    <w:name w:val="Default Paragraph Font (WW)"/>
    <w:qFormat/>
  </w:style>
  <w:style w:type="character" w:customStyle="1" w:styleId="rvts9">
    <w:name w:val="rvts9"/>
    <w:basedOn w:val="DefaultParagraphFontWW"/>
    <w:qFormat/>
  </w:style>
  <w:style w:type="character" w:customStyle="1" w:styleId="ab">
    <w:name w:val="Основной текст Знак"/>
    <w:basedOn w:val="DefaultParagraphFontWW"/>
    <w:qFormat/>
    <w:rPr>
      <w:rFonts w:ascii="Times New Roman" w:hAnsi="Times New Roman"/>
      <w:szCs w:val="24"/>
      <w:lang w:eastAsia="uk-UA"/>
    </w:rPr>
  </w:style>
  <w:style w:type="character" w:customStyle="1" w:styleId="ac">
    <w:name w:val="Маркери"/>
    <w:qFormat/>
    <w:rPr>
      <w:rFonts w:ascii="OpenSymbol" w:eastAsia="OpenSymbol" w:hAnsi="OpenSymbol" w:cs="OpenSymbol"/>
    </w:rPr>
  </w:style>
  <w:style w:type="paragraph" w:styleId="ad">
    <w:name w:val="Title"/>
    <w:basedOn w:val="a"/>
    <w:next w:val="a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Lohit Devanagari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footer"/>
    <w:basedOn w:val="a"/>
    <w:pPr>
      <w:tabs>
        <w:tab w:val="center" w:pos="4680"/>
        <w:tab w:val="right" w:pos="9360"/>
      </w:tabs>
    </w:pPr>
  </w:style>
  <w:style w:type="paragraph" w:styleId="af5">
    <w:name w:val="header"/>
    <w:basedOn w:val="a"/>
    <w:pPr>
      <w:tabs>
        <w:tab w:val="center" w:pos="4680"/>
        <w:tab w:val="right" w:pos="9360"/>
      </w:tabs>
    </w:pPr>
  </w:style>
  <w:style w:type="paragraph" w:styleId="af6">
    <w:name w:val="Balloon Text"/>
    <w:basedOn w:val="a"/>
    <w:qFormat/>
    <w:rPr>
      <w:sz w:val="18"/>
      <w:szCs w:val="18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customStyle="1" w:styleId="rvps7">
    <w:name w:val="rvps7"/>
    <w:basedOn w:val="a"/>
    <w:qFormat/>
    <w:pPr>
      <w:spacing w:before="280" w:after="280"/>
    </w:pPr>
    <w:rPr>
      <w:lang w:eastAsia="uk-UA"/>
    </w:rPr>
  </w:style>
  <w:style w:type="paragraph" w:customStyle="1" w:styleId="rvps3">
    <w:name w:val="rvps3"/>
    <w:basedOn w:val="a"/>
    <w:qFormat/>
    <w:pPr>
      <w:spacing w:before="280" w:after="280"/>
    </w:pPr>
    <w:rPr>
      <w:lang w:eastAsia="uk-UA"/>
    </w:rPr>
  </w:style>
  <w:style w:type="paragraph" w:styleId="af9">
    <w:name w:val="No Spacing"/>
    <w:qFormat/>
    <w:rPr>
      <w:rFonts w:cs="Times New Roman"/>
      <w:sz w:val="22"/>
      <w:szCs w:val="22"/>
      <w:lang w:val="uk-UA"/>
    </w:rPr>
  </w:style>
  <w:style w:type="paragraph" w:customStyle="1" w:styleId="31">
    <w:name w:val="Основной текст (3)"/>
    <w:basedOn w:val="a"/>
    <w:qFormat/>
    <w:pPr>
      <w:widowControl w:val="0"/>
      <w:shd w:val="clear" w:color="auto" w:fill="FFFFFF"/>
      <w:spacing w:before="1020" w:line="322" w:lineRule="exact"/>
      <w:jc w:val="center"/>
    </w:pPr>
    <w:rPr>
      <w:rFonts w:eastAsia="Calibri"/>
      <w:b/>
      <w:bCs/>
      <w:sz w:val="25"/>
      <w:szCs w:val="25"/>
    </w:rPr>
  </w:style>
  <w:style w:type="paragraph" w:styleId="afa">
    <w:name w:val="Normal (Web)"/>
    <w:basedOn w:val="a"/>
    <w:qFormat/>
    <w:pPr>
      <w:spacing w:before="280" w:after="280"/>
    </w:pPr>
    <w:rPr>
      <w:lang w:eastAsia="uk-UA"/>
    </w:rPr>
  </w:style>
  <w:style w:type="paragraph" w:styleId="afb">
    <w:name w:val="Revision"/>
    <w:qFormat/>
    <w:rPr>
      <w:rFonts w:cs="Times New Roman"/>
      <w:sz w:val="22"/>
      <w:szCs w:val="22"/>
      <w:lang w:val="uk-UA"/>
    </w:rPr>
  </w:style>
  <w:style w:type="paragraph" w:styleId="afc">
    <w:name w:val="footnote text"/>
    <w:basedOn w:val="a"/>
    <w:rPr>
      <w:sz w:val="20"/>
      <w:szCs w:val="20"/>
    </w:r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fd">
    <w:name w:val="Вміст таблиці"/>
    <w:basedOn w:val="a"/>
    <w:qFormat/>
    <w:pPr>
      <w:suppressLineNumbers/>
    </w:pPr>
  </w:style>
  <w:style w:type="paragraph" w:customStyle="1" w:styleId="afe">
    <w:name w:val="Заголовок таблиці"/>
    <w:basedOn w:val="afd"/>
    <w:qFormat/>
    <w:pPr>
      <w:jc w:val="center"/>
    </w:pPr>
    <w:rPr>
      <w:b/>
      <w:bCs/>
    </w:rPr>
  </w:style>
  <w:style w:type="paragraph" w:customStyle="1" w:styleId="NormalTableWW">
    <w:name w:val="Normal Table (WW)"/>
    <w:qFormat/>
    <w:rPr>
      <w:rFonts w:eastAsia="Times New Roman" w:cs="Calibri"/>
      <w:sz w:val="20"/>
    </w:rPr>
  </w:style>
  <w:style w:type="numbering" w:customStyle="1" w:styleId="aff">
    <w:name w:val="Без маркерів"/>
    <w:qFormat/>
  </w:style>
  <w:style w:type="numbering" w:customStyle="1" w:styleId="NoList1">
    <w:name w:val="No List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4487</Words>
  <Characters>2559</Characters>
  <Application>Microsoft Office Word</Application>
  <DocSecurity>0</DocSecurity>
  <Lines>21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Kotlyar</dc:creator>
  <dc:description/>
  <cp:lastModifiedBy>Gorchakova T.A</cp:lastModifiedBy>
  <cp:revision>3</cp:revision>
  <cp:lastPrinted>2024-10-17T11:34:00Z</cp:lastPrinted>
  <dcterms:created xsi:type="dcterms:W3CDTF">2024-10-18T11:11:00Z</dcterms:created>
  <dcterms:modified xsi:type="dcterms:W3CDTF">2024-10-25T10:47:00Z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