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83" w:rsidRDefault="005A64E3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NewRomanPS-BoldMT" w:hAnsi="TimesNewRomanPS-BoldMT"/>
          <w:b/>
          <w:color w:val="000000"/>
          <w:sz w:val="28"/>
        </w:rPr>
        <w:t xml:space="preserve"> Алгоритм дій під час виявлення ВНП 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Якщо Ви виявили ВНП у жодному разі не наближайтеся до них та не пускайте інших!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Зупинитись.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Не панікувати, заспокоїтися.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 xml:space="preserve">Попередити інших, якщо </w:t>
      </w:r>
      <w:r>
        <w:rPr>
          <w:rFonts w:ascii="TimesNewRomanPSMT" w:hAnsi="TimesNewRomanPSMT"/>
          <w:color w:val="000000"/>
          <w:sz w:val="28"/>
        </w:rPr>
        <w:t>рухалися не самі, голосно повідомивши про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небезпеку та наказавши зупинитися.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Перевірити ознаки наявності інших, небезпечних предметів навколо себе,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уважно роздивившись, не рухаючись з місця.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Обережно відійдіть назад тим же шляхом, яким прийшли, на безпечну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відстань, намагаючись рухатися по своїх слідах. Якщо є можливість, сховайтеся за будівлею або іншою захисною перешкодою. (Пам’ятайте, що, наприклад, для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мінометних мін безпечною є відстань 500 м, а для артилерійських боєприпасів ̶ не менше 800 м).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Позначт</w:t>
      </w:r>
      <w:r>
        <w:rPr>
          <w:rFonts w:ascii="TimesNewRomanPSMT" w:hAnsi="TimesNewRomanPSMT"/>
          <w:color w:val="000000"/>
          <w:sz w:val="28"/>
        </w:rPr>
        <w:t>е небезпечну територію помітним знаком (червона стрічка, хустина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 xml:space="preserve">тощо). </w:t>
      </w:r>
      <w:r>
        <w:rPr>
          <w:rFonts w:ascii="TimesNewRomanPSMT" w:hAnsi="TimesNewRomanPSMT"/>
          <w:b/>
          <w:bCs/>
          <w:color w:val="000000"/>
          <w:sz w:val="28"/>
        </w:rPr>
        <w:t>Увага:</w:t>
      </w:r>
      <w:r>
        <w:rPr>
          <w:rFonts w:ascii="TimesNewRomanPSMT" w:hAnsi="TimesNewRomanPSMT"/>
          <w:color w:val="000000"/>
          <w:sz w:val="28"/>
        </w:rPr>
        <w:t xml:space="preserve"> маркування здійснювати тільки на безпечній ділянці!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Негайно повідомляти встановленим порядком піротехнічні підрозділи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ДСНС, вибухотехнічні підрозділи Національної поліції Україн</w:t>
      </w:r>
      <w:r>
        <w:rPr>
          <w:rFonts w:ascii="TimesNewRomanPSMT" w:hAnsi="TimesNewRomanPSMT"/>
          <w:color w:val="000000"/>
          <w:sz w:val="28"/>
        </w:rPr>
        <w:t>и, або органам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військового управління чи тероборони.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Біля мін, боєприпасів та інших видів ВНП заборонено користуватися телефоном!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Чого не можна робити: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Наближатися до ВНП.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Якимось чином впливати на нього (торкатися, кидати каміння, пересувати,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 xml:space="preserve">накривати </w:t>
      </w:r>
      <w:r>
        <w:rPr>
          <w:rFonts w:ascii="TimesNewRomanPSMT" w:hAnsi="TimesNewRomanPSMT"/>
          <w:color w:val="000000"/>
          <w:sz w:val="28"/>
        </w:rPr>
        <w:t>чи заливати водою, кидати у вогонь тощо).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Дзвонити безпосередньо поруч з небезпечним предметом. Здійснювати маркування безпосередньо біля нього.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Правила поводження в разі виявлення підозрілого предмета, що може бути вибуховим пристроєм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Ознаки, що можуть вк</w:t>
      </w:r>
      <w:r>
        <w:rPr>
          <w:rFonts w:ascii="TimesNewRomanPSMT" w:hAnsi="TimesNewRomanPSMT"/>
          <w:color w:val="000000"/>
          <w:sz w:val="28"/>
        </w:rPr>
        <w:t>азувати на наявність вибухового пристрою: виявлення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будь-якого предмета без господаря (сумка, згорток, пакет або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предмет, схожий на гранату, міну, снаряд тощо) у місцях можливої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присутності великої кількості людей, поблизу пожежо- і вибухонебезпечних місць</w:t>
      </w:r>
      <w:r>
        <w:rPr>
          <w:rFonts w:ascii="TimesNewRomanPSMT" w:hAnsi="TimesNewRomanPSMT"/>
          <w:color w:val="000000"/>
          <w:sz w:val="28"/>
        </w:rPr>
        <w:t>, розташування різного роду комунікацій;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наявність на виявленому предметі проводів, мотузок, ізоляційної стрічки,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скотчу;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підозрілі звуки: пікання, цокання;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від предмета виходить характерний запах мигдалю або іншій незвичайний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 xml:space="preserve">запах, на зовнішній оболонці </w:t>
      </w:r>
      <w:r>
        <w:rPr>
          <w:rFonts w:ascii="TimesNewRomanPSMT" w:hAnsi="TimesNewRomanPSMT"/>
          <w:color w:val="000000"/>
          <w:sz w:val="28"/>
        </w:rPr>
        <w:t>присутні масляні плями.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 xml:space="preserve"> Методика надання домедичної допомоги при отриманні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000000"/>
          <w:sz w:val="28"/>
        </w:rPr>
        <w:t>мінно-вибухової травми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Мінно-вибухова травма найчастіше є дуже тяжкою та характеризується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різними поєднаннями осколкових поранень, пошкодження тканин організму(аж до травматичної а</w:t>
      </w:r>
      <w:r>
        <w:rPr>
          <w:rFonts w:ascii="TimesNewRomanPSMT" w:hAnsi="TimesNewRomanPSMT"/>
          <w:color w:val="202124"/>
          <w:sz w:val="28"/>
        </w:rPr>
        <w:t>мпутації кінцівок), явищ загального оглушення та контузії,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больовий та геморагічний шок. Важливою особливістю є те, що спочатку після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lastRenderedPageBreak/>
        <w:t>поранення саме внаслідок важких пошкоджень тканин може бути якийсь час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 xml:space="preserve">відсутня кровотеча з ран, а також бути рухове </w:t>
      </w:r>
      <w:r>
        <w:rPr>
          <w:rFonts w:ascii="TimesNewRomanPSMT" w:hAnsi="TimesNewRomanPSMT"/>
          <w:color w:val="202124"/>
          <w:sz w:val="28"/>
        </w:rPr>
        <w:t>збудження і відсутність больових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відчуттів, постраждалий може бути психо-емоційно збуджений.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Після отримання мінно-вибухової травми постраждалого в першу чергу потрібно перевірити на наявність критичних кровотеч. В разі виявлення –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необхідно зупинити крово</w:t>
      </w:r>
      <w:r>
        <w:rPr>
          <w:rFonts w:ascii="TimesNewRomanPSMT" w:hAnsi="TimesNewRomanPSMT"/>
          <w:color w:val="000000"/>
          <w:sz w:val="28"/>
        </w:rPr>
        <w:t>течу. Для цього треба швидко накласти кровоспинний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000000"/>
          <w:sz w:val="28"/>
        </w:rPr>
        <w:t>джгут типу турнікет або Есмарха, або зробити його з підручних засобів. Особливо, якщо кровотеча, що відкрилася, носить профузний характер (одночасне швидке надходження значної кількості крові), що дуже пом</w:t>
      </w:r>
      <w:r>
        <w:rPr>
          <w:rFonts w:ascii="TimesNewRomanPSMT" w:hAnsi="TimesNewRomanPSMT"/>
          <w:color w:val="000000"/>
          <w:sz w:val="28"/>
        </w:rPr>
        <w:t>ітно по просочуванню бинтів кров'ю, тоді необхідно або накласти джгути, або здійснити зупинку кровотечі іншим способом в найкоротший термін.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Для запобігання такому розвитку подій рекомендується на стадії накладання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пов'язок на найбільш сильно пошкоджені ді</w:t>
      </w:r>
      <w:r>
        <w:rPr>
          <w:rFonts w:ascii="TimesNewRomanPSMT" w:hAnsi="TimesNewRomanPSMT"/>
          <w:color w:val="202124"/>
          <w:sz w:val="28"/>
        </w:rPr>
        <w:t>лянки , по можливості, застосовувати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гемостатичні засоби ( гемостатичні губки).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-BoldMT" w:hAnsi="TimesNewRomanPS-BoldMT"/>
          <w:b/>
          <w:color w:val="202124"/>
          <w:sz w:val="28"/>
        </w:rPr>
        <w:t>Зупинка кровотечі накладенням джгута.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Підкреслимо, що джгут повинен бути тимчасовим заходом і застосовуватися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за суворим показанням. Це травматична ампутація та руйнування кінц</w:t>
      </w:r>
      <w:r>
        <w:rPr>
          <w:rFonts w:ascii="TimesNewRomanPSMT" w:hAnsi="TimesNewRomanPSMT"/>
          <w:color w:val="202124"/>
          <w:sz w:val="28"/>
        </w:rPr>
        <w:t>івок, а також артеріальна кровотеча з ран вище колінного і ліктьового суглобів, що не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зупиняється пов'язкою, що давить.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Важливою причиною є неможливість здійснити зупинку кровотечі накладенням пов'язки внаслідок бойової обстановки (знаходження пораненого у</w:t>
      </w:r>
      <w:r>
        <w:rPr>
          <w:rFonts w:ascii="TimesNewRomanPSMT" w:hAnsi="TimesNewRomanPSMT"/>
          <w:color w:val="202124"/>
          <w:sz w:val="28"/>
        </w:rPr>
        <w:t xml:space="preserve"> небезпечній зоні).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Є класичні правила накладання джгута: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1. Джгут накладають завжди вище місця поранення з метою припинення струму крові від серця до рани.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2. Затягують джгут до повного припинення кровотечі з рани, але не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надмірно, щоб не викликати паралі</w:t>
      </w:r>
      <w:r>
        <w:rPr>
          <w:rFonts w:ascii="TimesNewRomanPSMT" w:hAnsi="TimesNewRomanPSMT"/>
          <w:color w:val="202124"/>
          <w:sz w:val="28"/>
        </w:rPr>
        <w:t>чу від здавлення нервів.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3. Накладають джгут не на голе тіло, а поверх одягу або підкладки з матерії,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 допускаючи грубого стискання шкіри.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4. Джгут накладається вище рани максимально близько до неї.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 xml:space="preserve">5. Для зменшення травматизації тканин джгут накладають </w:t>
      </w:r>
      <w:r>
        <w:rPr>
          <w:rFonts w:ascii="TimesNewRomanPSMT" w:hAnsi="TimesNewRomanPSMT"/>
          <w:color w:val="202124"/>
          <w:sz w:val="28"/>
        </w:rPr>
        <w:t>так, щоб кожен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наступний його виток покривав частину попереднього (принцип черепиці) – на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верхніх кінцівках, щоб витки лягали поруч, але між їхніми краями не було смужок шкіри.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Джгут не можна залишати на кінцівці більше двох годин влітку (взимку –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одна год</w:t>
      </w:r>
      <w:r>
        <w:rPr>
          <w:rFonts w:ascii="TimesNewRomanPSMT" w:hAnsi="TimesNewRomanPSMT"/>
          <w:color w:val="202124"/>
          <w:sz w:val="28"/>
        </w:rPr>
        <w:t>ина), для уникнення безповоротних змін тканин організму. Під джгутом (обов'язково потрібно залишити інформацію ( записку) де вказувати час його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первинного накладення.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b/>
          <w:color w:val="202124"/>
          <w:sz w:val="28"/>
        </w:rPr>
        <w:t>Накладання бинтової пов'язки.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Крім функції гемостазу, бинтова пов'язка успішно виконує ни</w:t>
      </w:r>
      <w:r>
        <w:rPr>
          <w:rFonts w:ascii="TimesNewRomanPSMT" w:hAnsi="TimesNewRomanPSMT"/>
          <w:color w:val="202124"/>
          <w:sz w:val="28"/>
        </w:rPr>
        <w:t>зку інших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завдань: захист рани від додаткового інфікування та попадання до неї сторонніх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предметів, запобігання вторинним ушкодженням травмованих тканин при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транспортування, запобігання виходу через рану назовні внутрішніх органів,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необхідності - герметиза</w:t>
      </w:r>
      <w:r>
        <w:rPr>
          <w:rFonts w:ascii="TimesNewRomanPSMT" w:hAnsi="TimesNewRomanPSMT"/>
          <w:color w:val="202124"/>
          <w:sz w:val="28"/>
        </w:rPr>
        <w:t>ція рани і таке інше. Вона не відрізняється травмуючим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впливом, характерним для раніше перерахованих способів екстреної зупинки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lastRenderedPageBreak/>
        <w:t>гемостазу, і водночас є набагато надійнішою.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При накладанні пов'язок забороняється: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витягувати назовні та заправляти всередину с</w:t>
      </w:r>
      <w:r>
        <w:rPr>
          <w:rFonts w:ascii="TimesNewRomanPSMT" w:hAnsi="TimesNewRomanPSMT"/>
          <w:color w:val="202124"/>
          <w:sz w:val="28"/>
        </w:rPr>
        <w:t>торонні предмети які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перебувають в рані, як тканини організму, так і сторонні тіла (уламки, сторонні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предмети і т.п.);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торкатися рану руками;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промивати рану водою не відомого походження або іншими рідинами, крім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тих, які передбаченні для промивання ран;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торкатися руками або чимось ще частини пов'язки, яка стикається з раною.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Пов'язку краще накладати на голе тіло, у разі поранення кінцівок бажано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врахувати таке: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одяг із потерпілого слід починати знімати зі здорової сторони. Наприклад,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 xml:space="preserve">якщо травмована ліва </w:t>
      </w:r>
      <w:r>
        <w:rPr>
          <w:rFonts w:ascii="TimesNewRomanPSMT" w:hAnsi="TimesNewRomanPSMT"/>
          <w:color w:val="202124"/>
          <w:sz w:val="28"/>
        </w:rPr>
        <w:t>рука, то сорочку чи спеціальний одяг, спочатку знімають із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правої руки; якщо одяг прилип до рани, то тканини одягу не слід відривати, 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необхідно обрізати навколо рани;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при травмі гомілки або стопи взуття слід розрізати по шву задника, а потім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знімати, зві</w:t>
      </w:r>
      <w:r>
        <w:rPr>
          <w:rFonts w:ascii="TimesNewRomanPSMT" w:hAnsi="TimesNewRomanPSMT"/>
          <w:color w:val="202124"/>
          <w:sz w:val="28"/>
        </w:rPr>
        <w:t>льняючи в першу чергу п'яту, якщо одягнений в чоботи;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при знятті одягу чи взуття із травмованої руки чи ноги рятувальник повинен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обережно підтримувати кінцівку.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У тих випадках, коли для огляду та перев'язки рани неможливо безболісно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зняти одяг, його розріз</w:t>
      </w:r>
      <w:r>
        <w:rPr>
          <w:rFonts w:ascii="TimesNewRomanPSMT" w:hAnsi="TimesNewRomanPSMT"/>
          <w:color w:val="202124"/>
          <w:sz w:val="28"/>
        </w:rPr>
        <w:t>ають ножицями або ножем, найкраще по шву, якщо він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проходить поблизу місця поранення. Якщо це неможливо, то роблять два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горизонтальні розрізи - вище і нижче рани і один вертикальний, що з'єднує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горизонтальні розрізи з будь-якої бічної сторони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b/>
          <w:color w:val="202124"/>
          <w:sz w:val="28"/>
        </w:rPr>
        <w:t>Поранення гру</w:t>
      </w:r>
      <w:r>
        <w:rPr>
          <w:rFonts w:ascii="TimesNewRomanPSMT" w:hAnsi="TimesNewRomanPSMT"/>
          <w:b/>
          <w:color w:val="202124"/>
          <w:sz w:val="28"/>
        </w:rPr>
        <w:t>дної клітини.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При пораненнях у грудну порожнину може проникнути повітря та призвести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до спадання легені (так званий пневмоторакс), а також зміни положення серця та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великих судин середостіння. Такий стан може призвести до смерті потерпілого.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Симптомами пнев</w:t>
      </w:r>
      <w:r>
        <w:rPr>
          <w:rFonts w:ascii="TimesNewRomanPSMT" w:hAnsi="TimesNewRomanPSMT"/>
          <w:color w:val="202124"/>
          <w:sz w:val="28"/>
        </w:rPr>
        <w:t>мотораксу є: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проблеми при диханні ( важкість при вдиху що супроводжується болем на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стороні враження);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посиніння губ та обличчя;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наростаючий біль у грудях.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Перша домедична допомога: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переконатись у тому, що дихальні шляхи чисті ( прохідні);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 xml:space="preserve">накласти на рану </w:t>
      </w:r>
      <w:r>
        <w:rPr>
          <w:rFonts w:ascii="TimesNewRomanPSMT" w:hAnsi="TimesNewRomanPSMT"/>
          <w:color w:val="202124"/>
          <w:sz w:val="28"/>
        </w:rPr>
        <w:t>герметичну оболонку оклюзійну пов’язку або ППІ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прогумованою стороною до поверхні шкіри. Виключно на голе тіло - між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оболонкою та поверхнею шкіри не має бути нічого;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щільно (регульовано) забинтувати круговими турами бинта оболонку до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грудної стінки;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 xml:space="preserve">не </w:t>
      </w:r>
      <w:r>
        <w:rPr>
          <w:rFonts w:ascii="TimesNewRomanPSMT" w:hAnsi="TimesNewRomanPSMT"/>
          <w:color w:val="202124"/>
          <w:sz w:val="28"/>
        </w:rPr>
        <w:t>давати потерпілому їжі чи пиття;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забезпечити пріоритетну доставку до лікувального закладу.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Необхідно забезпечити перебування потерпілого в напівсидячому положенні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- як під час накладання пов'язки, так і при подальшому транспортуванні.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Непоганою альтернатив</w:t>
      </w:r>
      <w:r>
        <w:rPr>
          <w:rFonts w:ascii="TimesNewRomanPSMT" w:hAnsi="TimesNewRomanPSMT"/>
          <w:color w:val="202124"/>
          <w:sz w:val="28"/>
        </w:rPr>
        <w:t>ою бинтуванню є прикріплення герметичної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lastRenderedPageBreak/>
        <w:t>оболонки до поверхні грудної стінки шляхом приклеювання його вздовж краю із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трьох сторін лейкопластирем (іншими клейкими засобами). Не прикріпленою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залишаємо нижній край. При цьому способі повітря, що наповнює плевр</w:t>
      </w:r>
      <w:r>
        <w:rPr>
          <w:rFonts w:ascii="TimesNewRomanPSMT" w:hAnsi="TimesNewRomanPSMT"/>
          <w:color w:val="202124"/>
          <w:sz w:val="28"/>
        </w:rPr>
        <w:t>альну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порожнину при напруженому пневмотораксі, може виходити назовні і це зменшує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ризик розвитку тяжких ускладнень.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b/>
          <w:color w:val="202124"/>
          <w:sz w:val="28"/>
        </w:rPr>
        <w:t>Поранення черевної порожнини.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Поранені в живіт транспортуються в положенні "жаби" - на спині, ноги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зігнуті в колінних та кульшових суглобах,</w:t>
      </w:r>
      <w:r>
        <w:rPr>
          <w:rFonts w:ascii="TimesNewRomanPSMT" w:hAnsi="TimesNewRomanPSMT"/>
          <w:color w:val="202124"/>
          <w:sz w:val="28"/>
        </w:rPr>
        <w:t xml:space="preserve"> коліна розведені в сторони. Якщо органи черевної порожнини не виступають із рани, потрібно накласти пов'язку, як у випадку звичайного поранення.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У разі пошкодження внутрішніх органів у бойових умовах можливі лише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протишокові заходи і необхідна якнайшвидш</w:t>
      </w:r>
      <w:r>
        <w:rPr>
          <w:rFonts w:ascii="TimesNewRomanPSMT" w:hAnsi="TimesNewRomanPSMT"/>
          <w:color w:val="202124"/>
          <w:sz w:val="28"/>
        </w:rPr>
        <w:t>а (максимум шість годин з моменту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поранення) доставка до лікарні. Ці ушкодження відносяться до категорії важких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поранень.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Симптоми: сильний біль та шок, затвердіння м'язів черевного пресу.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Перша допомога при пораненях черевної порожнини: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зупинити видимі кр</w:t>
      </w:r>
      <w:r>
        <w:rPr>
          <w:rFonts w:ascii="TimesNewRomanPSMT" w:hAnsi="TimesNewRomanPSMT"/>
          <w:color w:val="202124"/>
          <w:sz w:val="28"/>
        </w:rPr>
        <w:t>овотечі ( шляхом накладання давлючої пов’язки на рану);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не давати потерпілому їжі чи пиття;</w:t>
      </w:r>
    </w:p>
    <w:p w:rsidR="003C5F83" w:rsidRDefault="005A64E3">
      <w:pPr>
        <w:pStyle w:val="Standard"/>
        <w:jc w:val="both"/>
        <w:rPr>
          <w:rFonts w:hint="eastAsia"/>
        </w:rPr>
      </w:pPr>
      <w:r>
        <w:rPr>
          <w:rFonts w:ascii="TimesNewRomanPSMT" w:hAnsi="TimesNewRomanPSMT"/>
          <w:color w:val="202124"/>
          <w:sz w:val="28"/>
        </w:rPr>
        <w:t>першочергова доставка до лікувального закладу.</w:t>
      </w:r>
    </w:p>
    <w:sectPr w:rsidR="003C5F83">
      <w:pgSz w:w="11906" w:h="16838"/>
      <w:pgMar w:top="1134" w:right="572" w:bottom="1134" w:left="15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E3" w:rsidRDefault="005A64E3">
      <w:pPr>
        <w:rPr>
          <w:rFonts w:hint="eastAsia"/>
        </w:rPr>
      </w:pPr>
      <w:r>
        <w:separator/>
      </w:r>
    </w:p>
  </w:endnote>
  <w:endnote w:type="continuationSeparator" w:id="0">
    <w:p w:rsidR="005A64E3" w:rsidRDefault="005A64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E3" w:rsidRDefault="005A64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64E3" w:rsidRDefault="005A64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C5F83"/>
    <w:rsid w:val="00076214"/>
    <w:rsid w:val="003C5F83"/>
    <w:rsid w:val="005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53162-1451-4BAE-AA79-6225E2C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dcterms:created xsi:type="dcterms:W3CDTF">2023-05-17T05:48:00Z</dcterms:created>
  <dcterms:modified xsi:type="dcterms:W3CDTF">2023-05-17T05:48:00Z</dcterms:modified>
</cp:coreProperties>
</file>