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30" w:rsidRDefault="00A12E02">
      <w:pPr>
        <w:pStyle w:val="Textbody"/>
        <w:spacing w:after="0"/>
        <w:jc w:val="center"/>
        <w:rPr>
          <w:b/>
          <w:bCs/>
          <w:sz w:val="28"/>
          <w:szCs w:val="28"/>
          <w:lang w:val="uk-UA"/>
        </w:rPr>
      </w:pPr>
      <w:bookmarkStart w:id="0" w:name="_GoBack"/>
      <w:r>
        <w:rPr>
          <w:b/>
          <w:bCs/>
          <w:sz w:val="28"/>
          <w:szCs w:val="28"/>
          <w:lang w:val="uk-UA"/>
        </w:rPr>
        <w:t>ПОКРОВСЬКА МІСЬКА РАДА</w:t>
      </w:r>
    </w:p>
    <w:bookmarkEnd w:id="0"/>
    <w:p w:rsidR="007E7C30" w:rsidRDefault="00A12E02">
      <w:pPr>
        <w:pStyle w:val="Textbody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7E7C30" w:rsidRDefault="00A12E02">
      <w:pPr>
        <w:pStyle w:val="Textbody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16560</wp:posOffset>
                </wp:positionH>
                <wp:positionV relativeFrom="paragraph">
                  <wp:posOffset>20160</wp:posOffset>
                </wp:positionV>
                <wp:extent cx="6114960" cy="9000"/>
                <wp:effectExtent l="12700" t="12700" r="19140" b="16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9AE82" id="Прямая соединительная линия 1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.6pt" to="482.8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" strokeweight=".49mm">
                <v:stroke joinstyle="miter" endcap="square"/>
              </v:line>
            </w:pict>
          </mc:Fallback>
        </mc:AlternateContent>
      </w:r>
    </w:p>
    <w:p w:rsidR="007E7C30" w:rsidRDefault="00A12E02">
      <w:pPr>
        <w:pStyle w:val="Textbody"/>
        <w:spacing w:after="0"/>
        <w:jc w:val="center"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</w:t>
      </w:r>
    </w:p>
    <w:p w:rsidR="007E7C30" w:rsidRDefault="00A12E02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7E7C30" w:rsidRDefault="007E7C30">
      <w:pPr>
        <w:pStyle w:val="2"/>
        <w:ind w:firstLine="0"/>
        <w:rPr>
          <w:b/>
          <w:sz w:val="6"/>
          <w:szCs w:val="6"/>
        </w:rPr>
      </w:pPr>
    </w:p>
    <w:p w:rsidR="007E7C30" w:rsidRDefault="00A12E02">
      <w:pPr>
        <w:pStyle w:val="2"/>
        <w:ind w:firstLine="0"/>
        <w:jc w:val="left"/>
        <w:rPr>
          <w:szCs w:val="24"/>
        </w:rPr>
      </w:pPr>
      <w:r>
        <w:rPr>
          <w:sz w:val="28"/>
          <w:szCs w:val="28"/>
        </w:rPr>
        <w:t xml:space="preserve">06 травня 2019р.  </w:t>
      </w:r>
      <w:r>
        <w:rPr>
          <w:szCs w:val="24"/>
        </w:rPr>
        <w:t xml:space="preserve">                    </w:t>
      </w:r>
      <w:r>
        <w:rPr>
          <w:szCs w:val="24"/>
          <w:lang w:val="en-US"/>
        </w:rPr>
        <w:t xml:space="preserve">    </w:t>
      </w:r>
      <w:r>
        <w:rPr>
          <w:szCs w:val="24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м.Покров</w:t>
      </w:r>
      <w:proofErr w:type="spellEnd"/>
      <w:r>
        <w:rPr>
          <w:sz w:val="28"/>
          <w:szCs w:val="28"/>
        </w:rPr>
        <w:t xml:space="preserve"> </w:t>
      </w:r>
      <w:r>
        <w:rPr>
          <w:szCs w:val="24"/>
        </w:rPr>
        <w:t xml:space="preserve">                                            </w:t>
      </w:r>
      <w:r>
        <w:rPr>
          <w:sz w:val="28"/>
          <w:szCs w:val="28"/>
        </w:rPr>
        <w:t xml:space="preserve">  № 122-р</w:t>
      </w:r>
    </w:p>
    <w:p w:rsidR="007E7C30" w:rsidRDefault="007E7C30">
      <w:pPr>
        <w:pStyle w:val="Standard"/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7E7C30" w:rsidRDefault="00A12E02">
      <w:pPr>
        <w:pStyle w:val="Textbody"/>
        <w:spacing w:after="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Про контроль за відповідями</w:t>
      </w:r>
    </w:p>
    <w:p w:rsidR="007E7C30" w:rsidRDefault="00A12E02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скарги та відгуки, які надійшли на</w:t>
      </w:r>
    </w:p>
    <w:p w:rsidR="007E7C30" w:rsidRDefault="00A12E02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проведені закупівлі в системах</w:t>
      </w:r>
    </w:p>
    <w:p w:rsidR="007E7C30" w:rsidRDefault="00A12E02">
      <w:pPr>
        <w:pStyle w:val="Textbody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ProZorro.gov.ua та dozorro.org</w:t>
      </w:r>
    </w:p>
    <w:p w:rsidR="007E7C30" w:rsidRDefault="007E7C30">
      <w:pPr>
        <w:pStyle w:val="Textbody"/>
        <w:spacing w:after="0"/>
        <w:rPr>
          <w:sz w:val="20"/>
          <w:szCs w:val="20"/>
        </w:rPr>
      </w:pPr>
    </w:p>
    <w:p w:rsidR="007E7C30" w:rsidRDefault="00A12E02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Керуючись ст. 42 Закону України «Про місцеве самоврядування в </w:t>
      </w:r>
      <w:r>
        <w:rPr>
          <w:color w:val="000000"/>
          <w:sz w:val="28"/>
          <w:szCs w:val="28"/>
        </w:rPr>
        <w:t>Україні», з метою підвищення економії бюджетних коштів та налагодження взаємодії з бізнесом:</w:t>
      </w:r>
    </w:p>
    <w:p w:rsidR="007E7C30" w:rsidRDefault="007E7C30">
      <w:pPr>
        <w:pStyle w:val="Textbody"/>
        <w:spacing w:after="0"/>
        <w:rPr>
          <w:sz w:val="20"/>
          <w:szCs w:val="20"/>
        </w:rPr>
      </w:pPr>
    </w:p>
    <w:p w:rsidR="007E7C30" w:rsidRDefault="00A12E02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Відповідальним особам структурних підрозділів виконкому Покровської міської ради, комунальних підприємств, бюджетних установ та організацій:</w:t>
      </w:r>
    </w:p>
    <w:p w:rsidR="007E7C30" w:rsidRDefault="00A12E02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протягом трьох</w:t>
      </w:r>
      <w:r>
        <w:rPr>
          <w:color w:val="000000"/>
          <w:sz w:val="28"/>
          <w:szCs w:val="28"/>
        </w:rPr>
        <w:t xml:space="preserve"> робочих днів публікувати в системах ProZorro.gov.ua та dozorro.org відповіді на скарги, пропозиції та звернення, що надійшли в зазначених системах.</w:t>
      </w:r>
    </w:p>
    <w:p w:rsidR="007E7C30" w:rsidRDefault="00A12E02">
      <w:pPr>
        <w:pStyle w:val="Textbody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в разі виявлення в системі dozorro.org обґрунтованих скарг або відгуків на проведені закупівлі відповіда</w:t>
      </w:r>
      <w:r>
        <w:rPr>
          <w:color w:val="000000"/>
          <w:sz w:val="28"/>
          <w:szCs w:val="28"/>
        </w:rPr>
        <w:t>льні особи протягом п’яти робочих днів повідомляють відділ економіки про вжиті заходи.</w:t>
      </w:r>
    </w:p>
    <w:p w:rsidR="007E7C30" w:rsidRDefault="00A12E02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Відділу економіки виконкому Покровської міської ради:</w:t>
      </w:r>
    </w:p>
    <w:p w:rsidR="007E7C30" w:rsidRDefault="00A12E02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перевіряти наявність відповідей на скарги, пропозиції та звернення, що надійшли в системі dozorro.org до стр</w:t>
      </w:r>
      <w:r>
        <w:rPr>
          <w:color w:val="000000"/>
          <w:sz w:val="28"/>
          <w:szCs w:val="28"/>
        </w:rPr>
        <w:t>уктурних підрозділів виконкому Покровської міської ради, комунальних підприємств, бюджетних установ та організацій;</w:t>
      </w:r>
    </w:p>
    <w:p w:rsidR="007E7C30" w:rsidRDefault="00A12E02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 разі виявлення випадків відсутності відповіді від структурних підрозділів виконкому Покровської міської ради, комунальних підприємств,</w:t>
      </w:r>
      <w:r>
        <w:rPr>
          <w:color w:val="000000"/>
          <w:sz w:val="28"/>
          <w:szCs w:val="28"/>
        </w:rPr>
        <w:t xml:space="preserve"> бюджетних установ та організацій протягом трьох робочих днів, вжити заходів щодо отримання пояснень керівника такого структурного підрозділу виконкому Покровської міської ради, комунального підприємства, бюджетної установи та організації (протягом двох ро</w:t>
      </w:r>
      <w:r>
        <w:rPr>
          <w:color w:val="000000"/>
          <w:sz w:val="28"/>
          <w:szCs w:val="28"/>
        </w:rPr>
        <w:t>бочих днів).</w:t>
      </w:r>
    </w:p>
    <w:p w:rsidR="007E7C30" w:rsidRDefault="00A12E02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 випадках виявлених на підставі звернень в системі dozorro.org порушень в закупівлях, протягом п’яти робочих днів публікувати в системі dozorro.org інформацію про вжиті заходи.</w:t>
      </w:r>
    </w:p>
    <w:p w:rsidR="007E7C30" w:rsidRDefault="00A12E02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Координацію роботи щодо виконання цього розпорядження пок</w:t>
      </w:r>
      <w:r>
        <w:rPr>
          <w:color w:val="000000"/>
          <w:sz w:val="28"/>
          <w:szCs w:val="28"/>
        </w:rPr>
        <w:t>ласти на відділ економіки (Глазкова О.Ю.), контроль – на заступника міського голови Чистяков О.Г.</w:t>
      </w:r>
    </w:p>
    <w:p w:rsidR="007E7C30" w:rsidRDefault="007E7C30">
      <w:pPr>
        <w:pStyle w:val="Textbody"/>
        <w:spacing w:after="0"/>
        <w:rPr>
          <w:sz w:val="28"/>
          <w:szCs w:val="28"/>
        </w:rPr>
      </w:pPr>
    </w:p>
    <w:p w:rsidR="007E7C30" w:rsidRDefault="007E7C30">
      <w:pPr>
        <w:pStyle w:val="Textbody"/>
        <w:spacing w:after="0"/>
        <w:rPr>
          <w:sz w:val="28"/>
          <w:szCs w:val="28"/>
        </w:rPr>
      </w:pPr>
    </w:p>
    <w:p w:rsidR="007E7C30" w:rsidRDefault="00A12E02">
      <w:pPr>
        <w:pStyle w:val="Textbody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О.М. Шаповал</w:t>
      </w:r>
    </w:p>
    <w:sectPr w:rsidR="007E7C3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E02" w:rsidRDefault="00A12E02">
      <w:r>
        <w:separator/>
      </w:r>
    </w:p>
  </w:endnote>
  <w:endnote w:type="continuationSeparator" w:id="0">
    <w:p w:rsidR="00A12E02" w:rsidRDefault="00A1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OpenSymbol, 'Arial Unicode MS'">
    <w:panose1 w:val="020B0604020202020204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E02" w:rsidRDefault="00A12E02">
      <w:r>
        <w:rPr>
          <w:color w:val="000000"/>
        </w:rPr>
        <w:separator/>
      </w:r>
    </w:p>
  </w:footnote>
  <w:footnote w:type="continuationSeparator" w:id="0">
    <w:p w:rsidR="00A12E02" w:rsidRDefault="00A1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7C30"/>
    <w:rsid w:val="007E7C30"/>
    <w:rsid w:val="00A12E02"/>
    <w:rsid w:val="00C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AFD5-6E2C-2D41-9114-EB6118B6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  <w:lang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">
    <w:name w:val="Body Text 2"/>
    <w:basedOn w:val="Standard"/>
    <w:pPr>
      <w:widowControl w:val="0"/>
      <w:spacing w:after="0" w:line="240" w:lineRule="auto"/>
      <w:ind w:firstLine="720"/>
      <w:jc w:val="center"/>
    </w:pPr>
    <w:rPr>
      <w:rFonts w:ascii="Times New Roman" w:eastAsia="Andale Sans UI" w:hAnsi="Times New Roman"/>
      <w:sz w:val="24"/>
      <w:szCs w:val="20"/>
      <w:lang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5">
    <w:name w:val="Основной текст Знак"/>
    <w:rPr>
      <w:rFonts w:ascii="Times New Roman" w:eastAsia="Andale Sans UI" w:hAnsi="Times New Roman" w:cs="Times New Roman"/>
      <w:kern w:val="3"/>
      <w:sz w:val="24"/>
      <w:szCs w:val="24"/>
      <w:lang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2019-05-13T13:44:00Z</cp:lastPrinted>
  <dcterms:created xsi:type="dcterms:W3CDTF">2019-05-28T06:09:00Z</dcterms:created>
  <dcterms:modified xsi:type="dcterms:W3CDTF">2019-05-28T06:09:00Z</dcterms:modified>
</cp:coreProperties>
</file>