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21.01.2019р.  по 27.01.2019р.</w:t>
      </w:r>
    </w:p>
    <w:tbl>
      <w:tblPr>
        <w:tblW w:w="15555" w:type="dxa"/>
        <w:jc w:val="left"/>
        <w:tblInd w:w="-5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754"/>
        <w:gridCol w:w="2828"/>
        <w:gridCol w:w="2498"/>
        <w:gridCol w:w="3405"/>
        <w:gridCol w:w="2742"/>
        <w:gridCol w:w="2327"/>
      </w:tblGrid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21.01.2019р.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Наказ головного лікаря №1 від 02.01.2019р. “План роботи КНП “ЦПМСД Покровської міської ради”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Аналіз роботи зі зверненнями громадян (підсумки 2018р.)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Стан виконання санітарно-просвітницької роботи за ІІ півріччя 2018р. та за 2018р в цілому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 різному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головного лікаря з мед.обслуговування Саламаха О.Л.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Відповідальна особа за санітарно-просвітницьку роботу по Центру, сестра медична старша АЗПСМ №5 Косинська В.В.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Леонтьєв О.О.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232_2256927882"/>
            <w:bookmarkEnd w:id="0"/>
            <w:r>
              <w:rPr>
                <w:rFonts w:ascii="Times New Roman" w:hAnsi="Times New Roman"/>
                <w:sz w:val="24"/>
                <w:szCs w:val="24"/>
              </w:rPr>
              <w:t>Головний лікар Леонтьєв О.О.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Урочистості з нагоди Дня Соборності України та 100-річчя пр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голошення Акта злуки Української Народної Республіки та Західноукраїнс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кої Народної Республіки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Біля пам’ятника  І.Д.Сірка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10-00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Урочистості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Відділ культури (Сударєва Т.М.)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засідання виконкому, ІІІ поверх 14-00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Про  стан впровадження  в м.Покров медичної реформи на рівні первинної медичної допомоги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Головний лікар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КНЗ “ЦПМСД”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Леонтьєв О.О.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Комісія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захисту прав дитини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Координаційна рада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засідання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СЖО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25.01.2019р.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25.01.2019р.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штабу за участю голів квартальних комітетів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— зал засідань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9-00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заходів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41 сесії Покровської міської ради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І поверх — сесійний зал виконкому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Normal"/>
        <w:numPr>
          <w:ilvl w:val="0"/>
          <w:numId w:val="2"/>
        </w:numPr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8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LibreOffice/5.4.4.2$Windows_x86 LibreOffice_project/2524958677847fb3bb44820e40380acbe820f960</Application>
  <Pages>2</Pages>
  <Words>391</Words>
  <Characters>2612</Characters>
  <CharactersWithSpaces>2949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2019-01-23T15:48:10Z</dcterms:modified>
  <cp:revision>16</cp:revision>
  <dc:subject/>
  <dc:title/>
</cp:coreProperties>
</file>