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AE089" w14:textId="77777777" w:rsidR="00F55B09" w:rsidRDefault="009A5FFD" w:rsidP="00A44D4A">
      <w:pPr>
        <w:tabs>
          <w:tab w:val="left" w:pos="3045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ЗВІТ</w:t>
      </w:r>
    </w:p>
    <w:p w14:paraId="295F9463" w14:textId="263C93B4" w:rsidR="000A735A" w:rsidRDefault="000A735A" w:rsidP="00A44D4A">
      <w:pPr>
        <w:tabs>
          <w:tab w:val="left" w:pos="3045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Покровського</w:t>
      </w:r>
      <w:r w:rsidRPr="000A735A">
        <w:rPr>
          <w:rFonts w:ascii="Times New Roman" w:hAnsi="Times New Roman"/>
          <w:b/>
          <w:bCs/>
          <w:sz w:val="28"/>
          <w:szCs w:val="28"/>
        </w:rPr>
        <w:t xml:space="preserve"> міського центру соціальних служб для сім’ї, дітей та молоді про результати проведеної внутрішньої оцінки якості надання соціальних послуг за 2020 рік</w:t>
      </w:r>
    </w:p>
    <w:p w14:paraId="7CFB1B48" w14:textId="77777777" w:rsidR="00AF191F" w:rsidRPr="000A735A" w:rsidRDefault="00AF191F" w:rsidP="00A44D4A">
      <w:pPr>
        <w:tabs>
          <w:tab w:val="left" w:pos="3045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21DFDB5" w14:textId="77777777" w:rsidR="002F5DC0" w:rsidRDefault="000A735A" w:rsidP="0031079E">
      <w:pPr>
        <w:pStyle w:val="a5"/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0A735A">
        <w:rPr>
          <w:sz w:val="28"/>
          <w:szCs w:val="28"/>
        </w:rPr>
        <w:t xml:space="preserve">       </w:t>
      </w:r>
      <w:r w:rsidR="00171064">
        <w:rPr>
          <w:sz w:val="28"/>
          <w:szCs w:val="28"/>
        </w:rPr>
        <w:t xml:space="preserve">  </w:t>
      </w:r>
      <w:r w:rsidRPr="000A735A">
        <w:rPr>
          <w:sz w:val="28"/>
          <w:szCs w:val="28"/>
        </w:rPr>
        <w:t xml:space="preserve">Внутрішня оцінка якості проводилася з метою підвищення рівня якості соціальних послуг, що надаються </w:t>
      </w:r>
      <w:r>
        <w:rPr>
          <w:sz w:val="28"/>
          <w:szCs w:val="28"/>
        </w:rPr>
        <w:t>Покровським</w:t>
      </w:r>
      <w:r w:rsidRPr="000A735A">
        <w:rPr>
          <w:sz w:val="28"/>
          <w:szCs w:val="28"/>
        </w:rPr>
        <w:t xml:space="preserve"> міським центром соціальних служб для сім’ї, дітей та молоді (далі - Центр). Центр є закладом, що забезпечує організацію та проведення у </w:t>
      </w:r>
      <w:r w:rsidR="002F5DC0">
        <w:rPr>
          <w:sz w:val="28"/>
          <w:szCs w:val="28"/>
        </w:rPr>
        <w:t xml:space="preserve">Покровській міській </w:t>
      </w:r>
      <w:r w:rsidRPr="000A735A">
        <w:rPr>
          <w:sz w:val="28"/>
          <w:szCs w:val="28"/>
        </w:rPr>
        <w:t xml:space="preserve">територіальній громаді соціальної роботи із соціально незахищеними категоріями сімей, дітей та молоді, які перебувають у складних життєвих обставинах та потребують сторонньої допомоги. Центр у своїй діяльності керується Конституцією та законами України, актами Президента України і Кабінету Міністрів України, наказами </w:t>
      </w:r>
      <w:proofErr w:type="spellStart"/>
      <w:r w:rsidRPr="000A735A">
        <w:rPr>
          <w:sz w:val="28"/>
          <w:szCs w:val="28"/>
        </w:rPr>
        <w:t>Мінсоцполітики</w:t>
      </w:r>
      <w:proofErr w:type="spellEnd"/>
      <w:r w:rsidRPr="000A735A">
        <w:rPr>
          <w:sz w:val="28"/>
          <w:szCs w:val="28"/>
        </w:rPr>
        <w:t xml:space="preserve">, іншими нормативно-правовими актами у сфері соціальної роботи та надання соціальних послуг, а також Положенням про </w:t>
      </w:r>
      <w:r>
        <w:rPr>
          <w:sz w:val="28"/>
          <w:szCs w:val="28"/>
        </w:rPr>
        <w:t>Покровсь</w:t>
      </w:r>
      <w:r w:rsidR="0058265C">
        <w:rPr>
          <w:sz w:val="28"/>
          <w:szCs w:val="28"/>
        </w:rPr>
        <w:t>к</w:t>
      </w:r>
      <w:r>
        <w:rPr>
          <w:sz w:val="28"/>
          <w:szCs w:val="28"/>
        </w:rPr>
        <w:t>ий</w:t>
      </w:r>
      <w:r w:rsidRPr="000A735A">
        <w:rPr>
          <w:sz w:val="28"/>
          <w:szCs w:val="28"/>
        </w:rPr>
        <w:t xml:space="preserve"> міський центр соціальних служб для сім’ї, дітей та молоді.</w:t>
      </w:r>
      <w:r w:rsidR="00A97F5A">
        <w:rPr>
          <w:sz w:val="28"/>
          <w:szCs w:val="28"/>
        </w:rPr>
        <w:t xml:space="preserve"> </w:t>
      </w:r>
    </w:p>
    <w:p w14:paraId="37C7D007" w14:textId="4CC524B4" w:rsidR="00171064" w:rsidRDefault="000A735A" w:rsidP="002F5DC0">
      <w:pPr>
        <w:pStyle w:val="a5"/>
        <w:shd w:val="clear" w:color="auto" w:fill="FFFFFF"/>
        <w:spacing w:after="0" w:line="240" w:lineRule="auto"/>
        <w:ind w:firstLine="708"/>
        <w:jc w:val="both"/>
        <w:rPr>
          <w:sz w:val="28"/>
          <w:szCs w:val="28"/>
        </w:rPr>
      </w:pPr>
      <w:r w:rsidRPr="000A735A">
        <w:rPr>
          <w:sz w:val="28"/>
          <w:szCs w:val="28"/>
        </w:rPr>
        <w:t>Центр провадить діяльність за принципами дотримання прав людини, прав дитини та прав осіб з інвалідністю; гуманізму; забезпечення рівних прав та можливостей жінок і чоловіків; поваги до честі та гідності; толерантності; законності; соціальної справедливості; доступності та відкритості; неупередженості та безпечності; добровільності; індивідуального підходу; комплексності; конфіденційності; забезпечення високого рівня якості соціальних послуг.</w:t>
      </w:r>
      <w:r w:rsidR="00C71297">
        <w:rPr>
          <w:sz w:val="28"/>
          <w:szCs w:val="28"/>
        </w:rPr>
        <w:t xml:space="preserve"> </w:t>
      </w:r>
      <w:r w:rsidRPr="000A735A">
        <w:rPr>
          <w:sz w:val="28"/>
          <w:szCs w:val="28"/>
        </w:rPr>
        <w:t>Складовою основних завдань Центру є: - здійснення нада</w:t>
      </w:r>
      <w:r>
        <w:rPr>
          <w:sz w:val="28"/>
          <w:szCs w:val="28"/>
        </w:rPr>
        <w:t>ння</w:t>
      </w:r>
      <w:r w:rsidRPr="000A735A">
        <w:rPr>
          <w:sz w:val="28"/>
          <w:szCs w:val="28"/>
        </w:rPr>
        <w:t xml:space="preserve"> спеціалізова</w:t>
      </w:r>
      <w:r>
        <w:rPr>
          <w:sz w:val="28"/>
          <w:szCs w:val="28"/>
        </w:rPr>
        <w:t>них</w:t>
      </w:r>
      <w:r w:rsidRPr="000A735A">
        <w:rPr>
          <w:sz w:val="28"/>
          <w:szCs w:val="28"/>
        </w:rPr>
        <w:t xml:space="preserve"> соціальн</w:t>
      </w:r>
      <w:r>
        <w:rPr>
          <w:sz w:val="28"/>
          <w:szCs w:val="28"/>
        </w:rPr>
        <w:t>их</w:t>
      </w:r>
      <w:r w:rsidRPr="000A735A">
        <w:rPr>
          <w:sz w:val="28"/>
          <w:szCs w:val="28"/>
        </w:rPr>
        <w:t xml:space="preserve"> послуг різним категоріям клієнтів. </w:t>
      </w:r>
    </w:p>
    <w:p w14:paraId="24D31C26" w14:textId="77777777" w:rsidR="00607FE5" w:rsidRDefault="00171064" w:rsidP="0031079E">
      <w:pPr>
        <w:pStyle w:val="a5"/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uk-UA"/>
        </w:rPr>
      </w:pPr>
      <w:r>
        <w:rPr>
          <w:sz w:val="28"/>
          <w:szCs w:val="28"/>
        </w:rPr>
        <w:t xml:space="preserve">         </w:t>
      </w:r>
      <w:r w:rsidR="002F5DC0">
        <w:rPr>
          <w:rFonts w:eastAsia="Times New Roman"/>
          <w:sz w:val="28"/>
          <w:szCs w:val="28"/>
          <w:lang w:eastAsia="uk-UA"/>
        </w:rPr>
        <w:t>На  виконання Закону України</w:t>
      </w:r>
      <w:r w:rsidR="006B3282" w:rsidRPr="006B3282">
        <w:rPr>
          <w:rFonts w:eastAsia="Times New Roman"/>
          <w:sz w:val="28"/>
          <w:szCs w:val="28"/>
          <w:lang w:eastAsia="uk-UA"/>
        </w:rPr>
        <w:t xml:space="preserve"> «Про соціальні послуги» та Постанови КМУ № 449 від 01 червня 2020 року «Про затвердження Порядку проведення моніторингу надання та оцінки якості соціальних послуг»</w:t>
      </w:r>
      <w:r w:rsidR="002F5DC0">
        <w:rPr>
          <w:rFonts w:eastAsia="Times New Roman"/>
          <w:sz w:val="28"/>
          <w:szCs w:val="28"/>
          <w:lang w:eastAsia="uk-UA"/>
        </w:rPr>
        <w:t xml:space="preserve"> </w:t>
      </w:r>
      <w:r w:rsidR="006B3282" w:rsidRPr="006B3282">
        <w:rPr>
          <w:rFonts w:eastAsia="Times New Roman"/>
          <w:sz w:val="28"/>
          <w:szCs w:val="28"/>
          <w:lang w:eastAsia="uk-UA"/>
        </w:rPr>
        <w:t xml:space="preserve">була проведена внутрішня оцінка якості соціальних послуг, які надаються </w:t>
      </w:r>
      <w:r w:rsidR="00B11639">
        <w:rPr>
          <w:rFonts w:eastAsia="Times New Roman"/>
          <w:sz w:val="28"/>
          <w:szCs w:val="28"/>
          <w:lang w:eastAsia="uk-UA"/>
        </w:rPr>
        <w:t>Покровським</w:t>
      </w:r>
      <w:r w:rsidR="006B3282" w:rsidRPr="006B3282">
        <w:rPr>
          <w:rFonts w:eastAsia="Times New Roman"/>
          <w:sz w:val="28"/>
          <w:szCs w:val="28"/>
          <w:lang w:eastAsia="uk-UA"/>
        </w:rPr>
        <w:t xml:space="preserve"> міським центром соціальних служб для сім’ї, дітей та молоді. Оцінка проводилась комісією на підставі наказу директора </w:t>
      </w:r>
      <w:r w:rsidR="002F5DC0">
        <w:rPr>
          <w:rFonts w:eastAsia="Times New Roman"/>
          <w:sz w:val="28"/>
          <w:szCs w:val="28"/>
          <w:lang w:eastAsia="uk-UA"/>
        </w:rPr>
        <w:t>ПМ</w:t>
      </w:r>
      <w:r w:rsidR="006B3282" w:rsidRPr="006B3282">
        <w:rPr>
          <w:rFonts w:eastAsia="Times New Roman"/>
          <w:sz w:val="28"/>
          <w:szCs w:val="28"/>
          <w:lang w:eastAsia="uk-UA"/>
        </w:rPr>
        <w:t>ЦСССДМ від 1</w:t>
      </w:r>
      <w:r w:rsidR="00505587">
        <w:rPr>
          <w:rFonts w:eastAsia="Times New Roman"/>
          <w:sz w:val="28"/>
          <w:szCs w:val="28"/>
          <w:lang w:eastAsia="uk-UA"/>
        </w:rPr>
        <w:t>9</w:t>
      </w:r>
      <w:r w:rsidR="006B3282" w:rsidRPr="006B3282">
        <w:rPr>
          <w:rFonts w:eastAsia="Times New Roman"/>
          <w:sz w:val="28"/>
          <w:szCs w:val="28"/>
          <w:lang w:eastAsia="uk-UA"/>
        </w:rPr>
        <w:t>.0</w:t>
      </w:r>
      <w:r w:rsidR="00505587">
        <w:rPr>
          <w:rFonts w:eastAsia="Times New Roman"/>
          <w:sz w:val="28"/>
          <w:szCs w:val="28"/>
          <w:lang w:eastAsia="uk-UA"/>
        </w:rPr>
        <w:t>1</w:t>
      </w:r>
      <w:r w:rsidR="006B3282" w:rsidRPr="006B3282">
        <w:rPr>
          <w:rFonts w:eastAsia="Times New Roman"/>
          <w:sz w:val="28"/>
          <w:szCs w:val="28"/>
          <w:lang w:eastAsia="uk-UA"/>
        </w:rPr>
        <w:t>.202</w:t>
      </w:r>
      <w:r w:rsidR="00F91FBA">
        <w:rPr>
          <w:rFonts w:eastAsia="Times New Roman"/>
          <w:sz w:val="28"/>
          <w:szCs w:val="28"/>
          <w:lang w:eastAsia="uk-UA"/>
        </w:rPr>
        <w:t>1р.</w:t>
      </w:r>
      <w:r w:rsidR="006B3282" w:rsidRPr="006B3282">
        <w:rPr>
          <w:rFonts w:eastAsia="Times New Roman"/>
          <w:sz w:val="28"/>
          <w:szCs w:val="28"/>
          <w:lang w:eastAsia="uk-UA"/>
        </w:rPr>
        <w:t xml:space="preserve"> №</w:t>
      </w:r>
      <w:r w:rsidR="00505587">
        <w:rPr>
          <w:rFonts w:eastAsia="Times New Roman"/>
          <w:sz w:val="28"/>
          <w:szCs w:val="28"/>
          <w:lang w:eastAsia="uk-UA"/>
        </w:rPr>
        <w:t>9</w:t>
      </w:r>
      <w:r w:rsidR="006B3282" w:rsidRPr="006B3282">
        <w:rPr>
          <w:rFonts w:eastAsia="Times New Roman"/>
          <w:sz w:val="28"/>
          <w:szCs w:val="28"/>
          <w:lang w:eastAsia="uk-UA"/>
        </w:rPr>
        <w:t xml:space="preserve"> з урахуванням методичних рекомендацій викладених в наказі Міністерства соціальної політики України від 27.12.2013 № 904 «Про затвердження Методичних  рекомендацій з проведення моніторингу та оцінки якості  соціальних послуг»</w:t>
      </w:r>
      <w:r w:rsidR="000D3806">
        <w:rPr>
          <w:rFonts w:eastAsia="Times New Roman"/>
          <w:sz w:val="28"/>
          <w:szCs w:val="28"/>
          <w:lang w:eastAsia="uk-UA"/>
        </w:rPr>
        <w:t xml:space="preserve">. </w:t>
      </w:r>
    </w:p>
    <w:p w14:paraId="40385DD6" w14:textId="0F37D5C2" w:rsidR="006B3282" w:rsidRPr="002F5DC0" w:rsidRDefault="006B3282" w:rsidP="00607FE5">
      <w:pPr>
        <w:pStyle w:val="a5"/>
        <w:shd w:val="clear" w:color="auto" w:fill="FFFFFF"/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uk-UA"/>
        </w:rPr>
      </w:pPr>
      <w:r w:rsidRPr="006B3282">
        <w:rPr>
          <w:rFonts w:eastAsia="Times New Roman"/>
          <w:sz w:val="28"/>
          <w:szCs w:val="28"/>
          <w:lang w:eastAsia="uk-UA"/>
        </w:rPr>
        <w:t xml:space="preserve">Внутрішня оцінка якості соціальних послуг проводилась у період з </w:t>
      </w:r>
      <w:r w:rsidR="002F5DC0" w:rsidRPr="002F5DC0">
        <w:rPr>
          <w:rFonts w:eastAsia="Times New Roman"/>
          <w:sz w:val="28"/>
          <w:szCs w:val="28"/>
          <w:lang w:eastAsia="uk-UA"/>
        </w:rPr>
        <w:t>20</w:t>
      </w:r>
      <w:r w:rsidRPr="002F5DC0">
        <w:rPr>
          <w:rFonts w:eastAsia="Times New Roman"/>
          <w:sz w:val="28"/>
          <w:szCs w:val="28"/>
          <w:lang w:eastAsia="uk-UA"/>
        </w:rPr>
        <w:t>.0</w:t>
      </w:r>
      <w:r w:rsidR="002F5DC0" w:rsidRPr="002F5DC0">
        <w:rPr>
          <w:rFonts w:eastAsia="Times New Roman"/>
          <w:sz w:val="28"/>
          <w:szCs w:val="28"/>
          <w:lang w:eastAsia="uk-UA"/>
        </w:rPr>
        <w:t>1</w:t>
      </w:r>
      <w:r w:rsidRPr="002F5DC0">
        <w:rPr>
          <w:rFonts w:eastAsia="Times New Roman"/>
          <w:sz w:val="28"/>
          <w:szCs w:val="28"/>
          <w:lang w:eastAsia="uk-UA"/>
        </w:rPr>
        <w:t>.202</w:t>
      </w:r>
      <w:r w:rsidR="00CC3EAC" w:rsidRPr="002F5DC0">
        <w:rPr>
          <w:rFonts w:eastAsia="Times New Roman"/>
          <w:sz w:val="28"/>
          <w:szCs w:val="28"/>
          <w:lang w:eastAsia="uk-UA"/>
        </w:rPr>
        <w:t>1</w:t>
      </w:r>
      <w:r w:rsidR="002F5DC0" w:rsidRPr="002F5DC0">
        <w:rPr>
          <w:rFonts w:eastAsia="Times New Roman"/>
          <w:sz w:val="28"/>
          <w:szCs w:val="28"/>
          <w:lang w:eastAsia="uk-UA"/>
        </w:rPr>
        <w:t>р.</w:t>
      </w:r>
      <w:r w:rsidRPr="002F5DC0">
        <w:rPr>
          <w:rFonts w:eastAsia="Times New Roman"/>
          <w:sz w:val="28"/>
          <w:szCs w:val="28"/>
          <w:lang w:eastAsia="uk-UA"/>
        </w:rPr>
        <w:t xml:space="preserve"> по </w:t>
      </w:r>
      <w:r w:rsidR="002F5DC0" w:rsidRPr="002F5DC0">
        <w:rPr>
          <w:rFonts w:eastAsia="Times New Roman"/>
          <w:sz w:val="28"/>
          <w:szCs w:val="28"/>
          <w:lang w:eastAsia="uk-UA"/>
        </w:rPr>
        <w:t>26</w:t>
      </w:r>
      <w:r w:rsidRPr="002F5DC0">
        <w:rPr>
          <w:rFonts w:eastAsia="Times New Roman"/>
          <w:sz w:val="28"/>
          <w:szCs w:val="28"/>
          <w:lang w:eastAsia="uk-UA"/>
        </w:rPr>
        <w:t>.0</w:t>
      </w:r>
      <w:r w:rsidR="002F5DC0" w:rsidRPr="002F5DC0">
        <w:rPr>
          <w:rFonts w:eastAsia="Times New Roman"/>
          <w:sz w:val="28"/>
          <w:szCs w:val="28"/>
          <w:lang w:eastAsia="uk-UA"/>
        </w:rPr>
        <w:t>2</w:t>
      </w:r>
      <w:r w:rsidR="00B6571B" w:rsidRPr="002F5DC0">
        <w:rPr>
          <w:rFonts w:eastAsia="Times New Roman"/>
          <w:sz w:val="28"/>
          <w:szCs w:val="28"/>
          <w:lang w:eastAsia="uk-UA"/>
        </w:rPr>
        <w:t>.</w:t>
      </w:r>
      <w:r w:rsidRPr="002F5DC0">
        <w:rPr>
          <w:rFonts w:eastAsia="Times New Roman"/>
          <w:sz w:val="28"/>
          <w:szCs w:val="28"/>
          <w:lang w:eastAsia="uk-UA"/>
        </w:rPr>
        <w:t>202</w:t>
      </w:r>
      <w:r w:rsidR="002F5DC0" w:rsidRPr="002F5DC0">
        <w:rPr>
          <w:rFonts w:eastAsia="Times New Roman"/>
          <w:sz w:val="28"/>
          <w:szCs w:val="28"/>
          <w:lang w:eastAsia="uk-UA"/>
        </w:rPr>
        <w:t>1</w:t>
      </w:r>
      <w:r w:rsidR="00CC3EAC" w:rsidRPr="002F5DC0">
        <w:rPr>
          <w:rFonts w:eastAsia="Times New Roman"/>
          <w:sz w:val="28"/>
          <w:szCs w:val="28"/>
          <w:lang w:eastAsia="uk-UA"/>
        </w:rPr>
        <w:t>р.</w:t>
      </w:r>
      <w:r w:rsidRPr="00CC3EAC">
        <w:rPr>
          <w:rFonts w:eastAsia="Times New Roman"/>
          <w:color w:val="FF0000"/>
          <w:sz w:val="28"/>
          <w:szCs w:val="28"/>
          <w:lang w:eastAsia="uk-UA"/>
        </w:rPr>
        <w:t xml:space="preserve"> </w:t>
      </w:r>
    </w:p>
    <w:p w14:paraId="57A10CC3" w14:textId="1090F176" w:rsidR="00607FE5" w:rsidRDefault="00607FE5" w:rsidP="00607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607FE5">
        <w:rPr>
          <w:rFonts w:ascii="Times New Roman" w:eastAsia="Times New Roman" w:hAnsi="Times New Roman"/>
          <w:sz w:val="28"/>
          <w:szCs w:val="28"/>
          <w:lang w:eastAsia="uk-UA"/>
        </w:rPr>
        <w:t xml:space="preserve">Предметом оцінювання є соціальні послуги,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що були надані ПМЦСССДМ</w:t>
      </w:r>
      <w:r w:rsidRPr="00607FE5">
        <w:rPr>
          <w:rFonts w:ascii="Times New Roman" w:eastAsia="Times New Roman" w:hAnsi="Times New Roman"/>
          <w:sz w:val="28"/>
          <w:szCs w:val="28"/>
          <w:lang w:eastAsia="uk-UA"/>
        </w:rPr>
        <w:t xml:space="preserve"> у 2020 році, а саме: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- консультування; - соціального супроводу сімей/осіб, які перебувають у складних життєвих обставинах; - супроводу сімей, у яких виховуються діти-сироти та діти, позбавлені батьківського піклування; - соціальної профілактики.</w:t>
      </w:r>
    </w:p>
    <w:p w14:paraId="71273DB6" w14:textId="4D8F302B" w:rsidR="00A00F17" w:rsidRDefault="00A44D4A" w:rsidP="00A00F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 xml:space="preserve">    </w:t>
      </w:r>
      <w:r w:rsidR="00607FE5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A00F17">
        <w:rPr>
          <w:rFonts w:ascii="Times New Roman" w:eastAsia="Times New Roman" w:hAnsi="Times New Roman"/>
          <w:sz w:val="28"/>
          <w:szCs w:val="28"/>
          <w:lang w:eastAsia="uk-UA"/>
        </w:rPr>
        <w:t>Під час оцінювання використовувались наступні джерела інформації: облікова та звітна документація,</w:t>
      </w:r>
      <w:r w:rsidR="00A00F17" w:rsidRPr="00A00F1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A00F17" w:rsidRPr="006B3282">
        <w:rPr>
          <w:rFonts w:ascii="Times New Roman" w:eastAsia="Times New Roman" w:hAnsi="Times New Roman"/>
          <w:sz w:val="28"/>
          <w:szCs w:val="28"/>
          <w:lang w:eastAsia="uk-UA"/>
        </w:rPr>
        <w:t xml:space="preserve">у тому числі звернень отримувачів </w:t>
      </w:r>
      <w:r w:rsidR="00A00F17">
        <w:rPr>
          <w:rFonts w:ascii="Times New Roman" w:eastAsia="Times New Roman" w:hAnsi="Times New Roman"/>
          <w:sz w:val="28"/>
          <w:szCs w:val="28"/>
          <w:lang w:eastAsia="uk-UA"/>
        </w:rPr>
        <w:t xml:space="preserve">соціальних послуг, бесіди з персоналом надавача соціальних послуг, спостереження за процесом надання соціальних послуг, </w:t>
      </w:r>
      <w:r w:rsidR="00A00F17" w:rsidRPr="006B3282">
        <w:rPr>
          <w:rFonts w:ascii="Times New Roman" w:eastAsia="Times New Roman" w:hAnsi="Times New Roman"/>
          <w:sz w:val="28"/>
          <w:szCs w:val="28"/>
          <w:lang w:eastAsia="uk-UA"/>
        </w:rPr>
        <w:t>опитуванн</w:t>
      </w:r>
      <w:r w:rsidR="00A00F17">
        <w:rPr>
          <w:rFonts w:ascii="Times New Roman" w:eastAsia="Times New Roman" w:hAnsi="Times New Roman"/>
          <w:sz w:val="28"/>
          <w:szCs w:val="28"/>
          <w:lang w:eastAsia="uk-UA"/>
        </w:rPr>
        <w:t>я отримувачів соціальних послуг. Опитування проводилось добровільно і конфіденційно за допомогою засобів зв</w:t>
      </w:r>
      <w:r w:rsidR="00A00F17" w:rsidRPr="00A00F17">
        <w:rPr>
          <w:rFonts w:ascii="Times New Roman" w:eastAsia="Times New Roman" w:hAnsi="Times New Roman"/>
          <w:sz w:val="28"/>
          <w:szCs w:val="28"/>
          <w:lang w:val="ru-RU" w:eastAsia="uk-UA"/>
        </w:rPr>
        <w:t>’</w:t>
      </w:r>
      <w:proofErr w:type="spellStart"/>
      <w:r w:rsidR="00A00F17">
        <w:rPr>
          <w:rFonts w:ascii="Times New Roman" w:eastAsia="Times New Roman" w:hAnsi="Times New Roman"/>
          <w:sz w:val="28"/>
          <w:szCs w:val="28"/>
          <w:lang w:eastAsia="uk-UA"/>
        </w:rPr>
        <w:t>язку</w:t>
      </w:r>
      <w:proofErr w:type="spellEnd"/>
      <w:r w:rsidR="00A00F17">
        <w:rPr>
          <w:rFonts w:ascii="Times New Roman" w:eastAsia="Times New Roman" w:hAnsi="Times New Roman"/>
          <w:sz w:val="28"/>
          <w:szCs w:val="28"/>
          <w:lang w:eastAsia="uk-UA"/>
        </w:rPr>
        <w:t xml:space="preserve"> або під час особистого прийому. Результати використовувались виключно в узагальненому вигляді. </w:t>
      </w:r>
    </w:p>
    <w:p w14:paraId="2FD1C313" w14:textId="0937C607" w:rsidR="002F5DC0" w:rsidRPr="006B3282" w:rsidRDefault="002F5DC0" w:rsidP="006B32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5BDEE8B9" w14:textId="1FCF2D1C" w:rsidR="006B3282" w:rsidRPr="006B3282" w:rsidRDefault="006B3282" w:rsidP="006E21D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6B3282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СОЦІАЛЬНА ПОСЛУГА КОНСУЛЬТУВАННЯ</w:t>
      </w:r>
    </w:p>
    <w:p w14:paraId="4D2607C9" w14:textId="2426E519" w:rsidR="006B3282" w:rsidRDefault="006E21DA" w:rsidP="006B32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  </w:t>
      </w:r>
      <w:r w:rsidR="00A00F17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6B3282" w:rsidRPr="006B3282">
        <w:rPr>
          <w:rFonts w:ascii="Times New Roman" w:eastAsia="Times New Roman" w:hAnsi="Times New Roman"/>
          <w:sz w:val="28"/>
          <w:szCs w:val="28"/>
          <w:lang w:eastAsia="uk-UA"/>
        </w:rPr>
        <w:t>Для проведення внутрішньої оцінки якості надання  соціальної послуги консультування застосовувалися показники якості соціальної послуги консультування, наведені  у додатку</w:t>
      </w:r>
      <w:r w:rsidR="00414EE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6B3282" w:rsidRPr="006B3282">
        <w:rPr>
          <w:rFonts w:ascii="Times New Roman" w:eastAsia="Times New Roman" w:hAnsi="Times New Roman"/>
          <w:sz w:val="28"/>
          <w:szCs w:val="28"/>
          <w:lang w:eastAsia="uk-UA"/>
        </w:rPr>
        <w:t>6 до Державного стандарту соціальної послуги консультування.</w:t>
      </w:r>
      <w:r w:rsidR="00AA517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1983"/>
        <w:gridCol w:w="2393"/>
        <w:gridCol w:w="2286"/>
      </w:tblGrid>
      <w:tr w:rsidR="006B3282" w14:paraId="54E969F0" w14:textId="77777777" w:rsidTr="00087AE7">
        <w:tc>
          <w:tcPr>
            <w:tcW w:w="2694" w:type="dxa"/>
          </w:tcPr>
          <w:p w14:paraId="70AC7F15" w14:textId="2A2B3E65" w:rsidR="006B3282" w:rsidRPr="00C62E71" w:rsidRDefault="006B3282" w:rsidP="006B3282">
            <w:p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62E71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5F5F5"/>
              </w:rPr>
              <w:t>Показники</w:t>
            </w:r>
            <w:r w:rsidR="004B4F1B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5F5F5"/>
              </w:rPr>
              <w:t xml:space="preserve"> </w:t>
            </w:r>
            <w:r w:rsidRPr="00C62E71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5F5F5"/>
              </w:rPr>
              <w:t>кількісні</w:t>
            </w:r>
          </w:p>
        </w:tc>
        <w:tc>
          <w:tcPr>
            <w:tcW w:w="1983" w:type="dxa"/>
          </w:tcPr>
          <w:p w14:paraId="748A8329" w14:textId="77777777" w:rsidR="006B3282" w:rsidRDefault="00C62E71" w:rsidP="006B3282">
            <w:p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5F5F5"/>
              </w:rPr>
            </w:pPr>
            <w:r w:rsidRPr="004B4F1B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5F5F5"/>
              </w:rPr>
              <w:t>Від 0% до 50%</w:t>
            </w:r>
          </w:p>
          <w:p w14:paraId="24944A42" w14:textId="6DA52BB4" w:rsidR="002F2EDF" w:rsidRPr="004B4F1B" w:rsidRDefault="002F2EDF" w:rsidP="006B3282">
            <w:p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393" w:type="dxa"/>
          </w:tcPr>
          <w:p w14:paraId="67F199AB" w14:textId="3F9432A4" w:rsidR="006B3282" w:rsidRPr="004B4F1B" w:rsidRDefault="004B4F1B" w:rsidP="006B3282">
            <w:p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B4F1B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5F5F5"/>
              </w:rPr>
              <w:t>Від 51% до 79%</w:t>
            </w:r>
          </w:p>
        </w:tc>
        <w:tc>
          <w:tcPr>
            <w:tcW w:w="2286" w:type="dxa"/>
          </w:tcPr>
          <w:p w14:paraId="3AA13134" w14:textId="343049B1" w:rsidR="006B3282" w:rsidRPr="004B4F1B" w:rsidRDefault="004B4F1B" w:rsidP="004B4F1B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B4F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Від 80% до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4B4F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100%</w:t>
            </w:r>
          </w:p>
        </w:tc>
      </w:tr>
      <w:tr w:rsidR="006B3282" w14:paraId="478E64DB" w14:textId="77777777" w:rsidTr="00087AE7">
        <w:tc>
          <w:tcPr>
            <w:tcW w:w="2694" w:type="dxa"/>
          </w:tcPr>
          <w:p w14:paraId="1991F20F" w14:textId="1019D6F9" w:rsidR="006B3282" w:rsidRPr="00C62E71" w:rsidRDefault="00C62E71" w:rsidP="00C62E7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62E7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Кількість скарг 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C62E7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результат їх розгляду</w:t>
            </w:r>
          </w:p>
        </w:tc>
        <w:tc>
          <w:tcPr>
            <w:tcW w:w="1983" w:type="dxa"/>
          </w:tcPr>
          <w:p w14:paraId="0EFFE313" w14:textId="73FD3134" w:rsidR="006B3282" w:rsidRPr="00285B15" w:rsidRDefault="00285B15" w:rsidP="00285B15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85B1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0%</w:t>
            </w:r>
          </w:p>
        </w:tc>
        <w:tc>
          <w:tcPr>
            <w:tcW w:w="2393" w:type="dxa"/>
          </w:tcPr>
          <w:p w14:paraId="09B6F72B" w14:textId="77777777" w:rsidR="006B3282" w:rsidRPr="00285B15" w:rsidRDefault="006B3282" w:rsidP="00285B15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86" w:type="dxa"/>
          </w:tcPr>
          <w:p w14:paraId="4B34E6FD" w14:textId="77777777" w:rsidR="006B3282" w:rsidRPr="00285B15" w:rsidRDefault="006B3282" w:rsidP="00285B15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B3282" w14:paraId="0E8348E6" w14:textId="77777777" w:rsidTr="00087AE7">
        <w:tc>
          <w:tcPr>
            <w:tcW w:w="2694" w:type="dxa"/>
          </w:tcPr>
          <w:p w14:paraId="3CC00372" w14:textId="726FD2CE" w:rsidR="006B3282" w:rsidRPr="00C62E71" w:rsidRDefault="00C62E71" w:rsidP="00C62E7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62E7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Кількість задоволених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C62E7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звернень про отримання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C62E7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послуги консультування</w:t>
            </w:r>
          </w:p>
        </w:tc>
        <w:tc>
          <w:tcPr>
            <w:tcW w:w="1983" w:type="dxa"/>
          </w:tcPr>
          <w:p w14:paraId="2D50F6BF" w14:textId="77777777" w:rsidR="006B3282" w:rsidRPr="00285B15" w:rsidRDefault="006B3282" w:rsidP="00285B15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393" w:type="dxa"/>
          </w:tcPr>
          <w:p w14:paraId="1616B80F" w14:textId="77777777" w:rsidR="006B3282" w:rsidRPr="00285B15" w:rsidRDefault="006B3282" w:rsidP="00285B15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86" w:type="dxa"/>
          </w:tcPr>
          <w:p w14:paraId="009FD38C" w14:textId="4CD24BE7" w:rsidR="006B3282" w:rsidRPr="00285B15" w:rsidRDefault="00F6084C" w:rsidP="00285B15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85B1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100%</w:t>
            </w:r>
          </w:p>
        </w:tc>
      </w:tr>
      <w:tr w:rsidR="006B3282" w14:paraId="1527074D" w14:textId="77777777" w:rsidTr="00087AE7">
        <w:tc>
          <w:tcPr>
            <w:tcW w:w="2694" w:type="dxa"/>
          </w:tcPr>
          <w:p w14:paraId="5D906B62" w14:textId="4A58CB26" w:rsidR="006B3282" w:rsidRPr="00C62E71" w:rsidRDefault="00C62E71" w:rsidP="00C62E7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62E7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Кількість працівників, які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C62E7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підвищили кваліфікацію</w:t>
            </w:r>
          </w:p>
        </w:tc>
        <w:tc>
          <w:tcPr>
            <w:tcW w:w="1983" w:type="dxa"/>
          </w:tcPr>
          <w:p w14:paraId="08746D0D" w14:textId="5C747A33" w:rsidR="006B3282" w:rsidRPr="00285B15" w:rsidRDefault="006B3282" w:rsidP="00285B15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393" w:type="dxa"/>
          </w:tcPr>
          <w:p w14:paraId="758850CE" w14:textId="08E8B814" w:rsidR="006B3282" w:rsidRPr="00285B15" w:rsidRDefault="00F1153D" w:rsidP="00285B15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70%</w:t>
            </w:r>
          </w:p>
        </w:tc>
        <w:tc>
          <w:tcPr>
            <w:tcW w:w="2286" w:type="dxa"/>
          </w:tcPr>
          <w:p w14:paraId="0990DAD0" w14:textId="77777777" w:rsidR="006B3282" w:rsidRPr="00285B15" w:rsidRDefault="006B3282" w:rsidP="00285B15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C62E71" w14:paraId="753BCB3C" w14:textId="77777777" w:rsidTr="00087AE7">
        <w:tc>
          <w:tcPr>
            <w:tcW w:w="2694" w:type="dxa"/>
          </w:tcPr>
          <w:p w14:paraId="4532B65B" w14:textId="4B764F97" w:rsidR="00C62E71" w:rsidRPr="00C62E71" w:rsidRDefault="00C62E71" w:rsidP="00C62E71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62E7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Моніторинг та оцінка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C62E7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якості проводиться щороку</w:t>
            </w:r>
          </w:p>
        </w:tc>
        <w:tc>
          <w:tcPr>
            <w:tcW w:w="1983" w:type="dxa"/>
          </w:tcPr>
          <w:p w14:paraId="458A8C83" w14:textId="77777777" w:rsidR="00C62E71" w:rsidRPr="00285B15" w:rsidRDefault="00C62E71" w:rsidP="00285B15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393" w:type="dxa"/>
          </w:tcPr>
          <w:p w14:paraId="6F3D540E" w14:textId="77777777" w:rsidR="00C62E71" w:rsidRPr="00285B15" w:rsidRDefault="00C62E71" w:rsidP="00285B15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86" w:type="dxa"/>
          </w:tcPr>
          <w:p w14:paraId="1ECE8E74" w14:textId="27641BCF" w:rsidR="00C62E71" w:rsidRPr="00285B15" w:rsidRDefault="00285B15" w:rsidP="00285B15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85B1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100%</w:t>
            </w:r>
          </w:p>
        </w:tc>
      </w:tr>
    </w:tbl>
    <w:p w14:paraId="07FCA183" w14:textId="77777777" w:rsidR="006B3282" w:rsidRPr="006B3282" w:rsidRDefault="006B3282" w:rsidP="006B32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tbl>
      <w:tblPr>
        <w:tblW w:w="9356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1984"/>
        <w:gridCol w:w="1843"/>
      </w:tblGrid>
      <w:tr w:rsidR="006B3282" w:rsidRPr="006B3282" w14:paraId="37B4DDA5" w14:textId="77777777" w:rsidTr="002327C8">
        <w:tc>
          <w:tcPr>
            <w:tcW w:w="269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ADD2C2" w14:textId="77777777" w:rsidR="006B3282" w:rsidRPr="006B3282" w:rsidRDefault="006B3282" w:rsidP="006B3282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B32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Показники якісні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4DB1C2" w14:textId="77777777" w:rsidR="00153C7B" w:rsidRDefault="006B3282" w:rsidP="006B3282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6B32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Від 80% до 100%  </w:t>
            </w:r>
          </w:p>
          <w:p w14:paraId="697B236E" w14:textId="6904F591" w:rsidR="006B3282" w:rsidRPr="006B3282" w:rsidRDefault="006B3282" w:rsidP="006B3282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B32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(добре)</w:t>
            </w:r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0B33B0" w14:textId="77777777" w:rsidR="006B3282" w:rsidRPr="006B3282" w:rsidRDefault="006B3282" w:rsidP="006B3282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B32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Від 51% до 79%</w:t>
            </w:r>
          </w:p>
          <w:p w14:paraId="2CCAC307" w14:textId="77777777" w:rsidR="006B3282" w:rsidRPr="006B3282" w:rsidRDefault="006B3282" w:rsidP="006B3282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B32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(задовільно)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A8A015" w14:textId="77777777" w:rsidR="006B3282" w:rsidRPr="006B3282" w:rsidRDefault="006B3282" w:rsidP="006B3282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B32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Від 0% до 50%</w:t>
            </w:r>
          </w:p>
          <w:p w14:paraId="55123CD7" w14:textId="77777777" w:rsidR="006B3282" w:rsidRPr="006B3282" w:rsidRDefault="006B3282" w:rsidP="006B3282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B32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(незадовільно)</w:t>
            </w:r>
          </w:p>
        </w:tc>
      </w:tr>
      <w:tr w:rsidR="006B3282" w:rsidRPr="006B3282" w14:paraId="4B3B3422" w14:textId="77777777" w:rsidTr="002327C8">
        <w:tc>
          <w:tcPr>
            <w:tcW w:w="269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26D252" w14:textId="5BA85D8E" w:rsidR="006B3282" w:rsidRPr="006B3282" w:rsidRDefault="006B3282" w:rsidP="00E1519A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B328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Адресність та</w:t>
            </w:r>
            <w:r w:rsidR="00E1519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B328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індивідуальний підхід</w:t>
            </w:r>
          </w:p>
        </w:tc>
        <w:tc>
          <w:tcPr>
            <w:tcW w:w="283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5F6083" w14:textId="77777777" w:rsidR="006B3282" w:rsidRPr="006B3282" w:rsidRDefault="006B3282" w:rsidP="006B3282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B328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98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0681CB" w14:textId="77777777" w:rsidR="006B3282" w:rsidRPr="006B3282" w:rsidRDefault="006B3282" w:rsidP="006B3282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B328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«задовільно»</w:t>
            </w:r>
          </w:p>
        </w:tc>
        <w:tc>
          <w:tcPr>
            <w:tcW w:w="1843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AE1A7E" w14:textId="77777777" w:rsidR="006B3282" w:rsidRPr="006B3282" w:rsidRDefault="006B3282" w:rsidP="006B3282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B328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6B3282" w:rsidRPr="006B3282" w14:paraId="7E5CE6F2" w14:textId="77777777" w:rsidTr="002327C8">
        <w:tc>
          <w:tcPr>
            <w:tcW w:w="269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4BC69B" w14:textId="77777777" w:rsidR="006B3282" w:rsidRPr="006B3282" w:rsidRDefault="006B3282" w:rsidP="00E1519A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B328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Результативність</w:t>
            </w:r>
          </w:p>
        </w:tc>
        <w:tc>
          <w:tcPr>
            <w:tcW w:w="283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0F0260" w14:textId="77777777" w:rsidR="006B3282" w:rsidRPr="006B3282" w:rsidRDefault="006B3282" w:rsidP="006B3282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B328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«добре»</w:t>
            </w:r>
          </w:p>
        </w:tc>
        <w:tc>
          <w:tcPr>
            <w:tcW w:w="198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DADD16" w14:textId="77777777" w:rsidR="006B3282" w:rsidRPr="006B3282" w:rsidRDefault="006B3282" w:rsidP="006B3282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B328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608861" w14:textId="77777777" w:rsidR="006B3282" w:rsidRPr="006B3282" w:rsidRDefault="006B3282" w:rsidP="006B3282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B328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6B3282" w:rsidRPr="006B3282" w14:paraId="5530801F" w14:textId="77777777" w:rsidTr="002327C8">
        <w:tc>
          <w:tcPr>
            <w:tcW w:w="269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14DFD4" w14:textId="77777777" w:rsidR="006B3282" w:rsidRPr="006B3282" w:rsidRDefault="006B3282" w:rsidP="00E1519A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B328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Своєчасність</w:t>
            </w:r>
          </w:p>
        </w:tc>
        <w:tc>
          <w:tcPr>
            <w:tcW w:w="283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DBA30E" w14:textId="77777777" w:rsidR="006B3282" w:rsidRPr="006B3282" w:rsidRDefault="006B3282" w:rsidP="006B3282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B328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«добре»</w:t>
            </w:r>
          </w:p>
        </w:tc>
        <w:tc>
          <w:tcPr>
            <w:tcW w:w="198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0B1E29" w14:textId="77777777" w:rsidR="006B3282" w:rsidRPr="006B3282" w:rsidRDefault="006B3282" w:rsidP="006B3282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B328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90EF12" w14:textId="77777777" w:rsidR="006B3282" w:rsidRPr="006B3282" w:rsidRDefault="006B3282" w:rsidP="006B3282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B328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6B3282" w:rsidRPr="006B3282" w14:paraId="4CADB3EB" w14:textId="77777777" w:rsidTr="002327C8">
        <w:tc>
          <w:tcPr>
            <w:tcW w:w="269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B00565" w14:textId="77777777" w:rsidR="006B3282" w:rsidRPr="006B3282" w:rsidRDefault="006B3282" w:rsidP="00E1519A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B328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Доступність</w:t>
            </w:r>
          </w:p>
        </w:tc>
        <w:tc>
          <w:tcPr>
            <w:tcW w:w="283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CBCF41" w14:textId="77777777" w:rsidR="006B3282" w:rsidRPr="006B3282" w:rsidRDefault="006B3282" w:rsidP="006B3282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B328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98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DAC91B" w14:textId="77777777" w:rsidR="006B3282" w:rsidRPr="006B3282" w:rsidRDefault="006B3282" w:rsidP="006B3282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B328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«задовільно»</w:t>
            </w:r>
          </w:p>
        </w:tc>
        <w:tc>
          <w:tcPr>
            <w:tcW w:w="1843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61D824" w14:textId="77777777" w:rsidR="006B3282" w:rsidRPr="006B3282" w:rsidRDefault="006B3282" w:rsidP="006B3282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B328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6B3282" w:rsidRPr="006B3282" w14:paraId="545D0216" w14:textId="77777777" w:rsidTr="002327C8">
        <w:trPr>
          <w:trHeight w:val="925"/>
        </w:trPr>
        <w:tc>
          <w:tcPr>
            <w:tcW w:w="269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3DDE14" w14:textId="6BE6A264" w:rsidR="006B3282" w:rsidRPr="006B3282" w:rsidRDefault="006B3282" w:rsidP="00E1519A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B328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Повага до гідності</w:t>
            </w:r>
            <w:r w:rsidR="00B0787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B328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отримувача соціальної</w:t>
            </w:r>
            <w:r w:rsidR="00B0787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B328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послуги</w:t>
            </w:r>
          </w:p>
          <w:p w14:paraId="707D8ACA" w14:textId="09F0D350" w:rsidR="006B3282" w:rsidRPr="006B3282" w:rsidRDefault="006B3282" w:rsidP="00E1519A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426C4F" w14:textId="77777777" w:rsidR="006B3282" w:rsidRPr="006B3282" w:rsidRDefault="006B3282" w:rsidP="006B3282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B328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«добре»</w:t>
            </w:r>
          </w:p>
        </w:tc>
        <w:tc>
          <w:tcPr>
            <w:tcW w:w="198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41CF2A" w14:textId="77777777" w:rsidR="006B3282" w:rsidRPr="006B3282" w:rsidRDefault="006B3282" w:rsidP="006B3282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B328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B56E81" w14:textId="77777777" w:rsidR="006B3282" w:rsidRPr="006B3282" w:rsidRDefault="006B3282" w:rsidP="006B3282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B328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B07876" w:rsidRPr="006B3282" w14:paraId="5C5660F1" w14:textId="77777777" w:rsidTr="002327C8">
        <w:trPr>
          <w:trHeight w:val="642"/>
        </w:trPr>
        <w:tc>
          <w:tcPr>
            <w:tcW w:w="2694" w:type="dxa"/>
            <w:tcBorders>
              <w:top w:val="single" w:sz="6" w:space="0" w:color="DDDDDD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25DAD0" w14:textId="77777777" w:rsidR="00B07876" w:rsidRPr="006B3282" w:rsidRDefault="00B07876" w:rsidP="00E1519A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B328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Професійність</w:t>
            </w:r>
          </w:p>
        </w:tc>
        <w:tc>
          <w:tcPr>
            <w:tcW w:w="2835" w:type="dxa"/>
            <w:tcBorders>
              <w:top w:val="single" w:sz="6" w:space="0" w:color="DDDDDD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4828B7" w14:textId="77777777" w:rsidR="00B07876" w:rsidRPr="006B3282" w:rsidRDefault="00B07876" w:rsidP="006B3282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B328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«добре»</w:t>
            </w:r>
          </w:p>
        </w:tc>
        <w:tc>
          <w:tcPr>
            <w:tcW w:w="1984" w:type="dxa"/>
            <w:tcBorders>
              <w:top w:val="single" w:sz="6" w:space="0" w:color="DDDDDD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4ED56F" w14:textId="77777777" w:rsidR="00B07876" w:rsidRPr="006B3282" w:rsidRDefault="00B07876" w:rsidP="006B3282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B328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6" w:space="0" w:color="DDDDDD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5F052D" w14:textId="77777777" w:rsidR="00B07876" w:rsidRPr="006B3282" w:rsidRDefault="00B07876" w:rsidP="006B3282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B328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</w:tbl>
    <w:p w14:paraId="0A859F3C" w14:textId="77777777" w:rsidR="00F82349" w:rsidRDefault="00F82349" w:rsidP="006B32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679"/>
      </w:tblGrid>
      <w:tr w:rsidR="000B74F0" w14:paraId="70E4AE29" w14:textId="77777777" w:rsidTr="002327C8">
        <w:tc>
          <w:tcPr>
            <w:tcW w:w="4677" w:type="dxa"/>
          </w:tcPr>
          <w:p w14:paraId="7DD43868" w14:textId="1322FC9B" w:rsidR="000B74F0" w:rsidRPr="009B7157" w:rsidRDefault="000B74F0" w:rsidP="006B3282">
            <w:p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B715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5F5F5"/>
              </w:rPr>
              <w:t>Узагальнений статус</w:t>
            </w:r>
          </w:p>
        </w:tc>
        <w:tc>
          <w:tcPr>
            <w:tcW w:w="4679" w:type="dxa"/>
          </w:tcPr>
          <w:p w14:paraId="5184DB7A" w14:textId="7E699301" w:rsidR="000B74F0" w:rsidRPr="009B7157" w:rsidRDefault="000B74F0" w:rsidP="006B3282">
            <w:p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B715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5F5F5"/>
              </w:rPr>
              <w:t>Рекомендації по роботі із суб’єктом, що надає соціальну послугу</w:t>
            </w:r>
          </w:p>
        </w:tc>
      </w:tr>
      <w:tr w:rsidR="000B74F0" w14:paraId="6BB62694" w14:textId="77777777" w:rsidTr="002327C8">
        <w:tc>
          <w:tcPr>
            <w:tcW w:w="4677" w:type="dxa"/>
          </w:tcPr>
          <w:p w14:paraId="45368965" w14:textId="6F468171" w:rsidR="000B74F0" w:rsidRPr="009B7157" w:rsidRDefault="000B74F0" w:rsidP="006B3282">
            <w:p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5F5F5"/>
              </w:rPr>
            </w:pPr>
            <w:r w:rsidRPr="009B7157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«добре»</w:t>
            </w:r>
          </w:p>
        </w:tc>
        <w:tc>
          <w:tcPr>
            <w:tcW w:w="4679" w:type="dxa"/>
          </w:tcPr>
          <w:p w14:paraId="5841B47E" w14:textId="08E65FD3" w:rsidR="000B74F0" w:rsidRPr="009B7157" w:rsidRDefault="000B74F0" w:rsidP="000B74F0">
            <w:pPr>
              <w:pStyle w:val="a5"/>
              <w:spacing w:after="150"/>
              <w:jc w:val="both"/>
            </w:pPr>
            <w:r w:rsidRPr="009B7157">
              <w:t>Продовжувати роботу із</w:t>
            </w:r>
            <w:r w:rsidR="009B7157" w:rsidRPr="009B7157">
              <w:t xml:space="preserve"> </w:t>
            </w:r>
            <w:r w:rsidRPr="009B7157">
              <w:t>суб’єктом</w:t>
            </w:r>
          </w:p>
        </w:tc>
      </w:tr>
      <w:tr w:rsidR="000B74F0" w14:paraId="7E5723DA" w14:textId="77777777" w:rsidTr="002327C8">
        <w:tc>
          <w:tcPr>
            <w:tcW w:w="4677" w:type="dxa"/>
          </w:tcPr>
          <w:p w14:paraId="56918465" w14:textId="271A592B" w:rsidR="000B74F0" w:rsidRPr="009B7157" w:rsidRDefault="000B74F0" w:rsidP="006B3282">
            <w:p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5F5F5"/>
              </w:rPr>
            </w:pPr>
            <w:r w:rsidRPr="009B7157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«задовільно»</w:t>
            </w:r>
          </w:p>
        </w:tc>
        <w:tc>
          <w:tcPr>
            <w:tcW w:w="4679" w:type="dxa"/>
          </w:tcPr>
          <w:p w14:paraId="2790F015" w14:textId="08F6DE59" w:rsidR="000B74F0" w:rsidRPr="009B7157" w:rsidRDefault="009B7157" w:rsidP="006B3282">
            <w:p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5F5F5"/>
              </w:rPr>
            </w:pPr>
            <w:r w:rsidRPr="009B715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5F5F5"/>
              </w:rPr>
              <w:t>-</w:t>
            </w:r>
          </w:p>
        </w:tc>
      </w:tr>
      <w:tr w:rsidR="000B74F0" w14:paraId="1549873D" w14:textId="77777777" w:rsidTr="002327C8">
        <w:tc>
          <w:tcPr>
            <w:tcW w:w="4677" w:type="dxa"/>
          </w:tcPr>
          <w:p w14:paraId="7EC3ED63" w14:textId="530CDEF3" w:rsidR="000B74F0" w:rsidRPr="009B7157" w:rsidRDefault="000B74F0" w:rsidP="006B3282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9B7157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«незадовільно»</w:t>
            </w:r>
          </w:p>
        </w:tc>
        <w:tc>
          <w:tcPr>
            <w:tcW w:w="4679" w:type="dxa"/>
          </w:tcPr>
          <w:p w14:paraId="3D76E55A" w14:textId="01BCB4C2" w:rsidR="000B74F0" w:rsidRPr="009B7157" w:rsidRDefault="009B7157" w:rsidP="006B3282">
            <w:pPr>
              <w:spacing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5F5F5"/>
              </w:rPr>
            </w:pPr>
            <w:r w:rsidRPr="009B715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5F5F5"/>
              </w:rPr>
              <w:t>-</w:t>
            </w:r>
          </w:p>
        </w:tc>
      </w:tr>
    </w:tbl>
    <w:p w14:paraId="7BA9D0F1" w14:textId="1FFF6733" w:rsidR="006B3282" w:rsidRDefault="006B3282" w:rsidP="00A00F1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B3282">
        <w:rPr>
          <w:rFonts w:ascii="Times New Roman" w:eastAsia="Times New Roman" w:hAnsi="Times New Roman"/>
          <w:sz w:val="28"/>
          <w:szCs w:val="28"/>
          <w:lang w:eastAsia="uk-UA"/>
        </w:rPr>
        <w:t>Згідно шкали оцінки  якісних та кількісних показників якість послуги консультування відповідає  встановленому рівню – «Добре».</w:t>
      </w:r>
    </w:p>
    <w:p w14:paraId="307C6B58" w14:textId="77777777" w:rsidR="000F2D8E" w:rsidRPr="006B3282" w:rsidRDefault="000F2D8E" w:rsidP="006B32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3CC1AAAE" w14:textId="582099E9" w:rsidR="006B3282" w:rsidRPr="006B3282" w:rsidRDefault="006B3282" w:rsidP="0067311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6B3282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СОЦІАЛЬНА ПОСЛУГА СОЦІАЛЬНОГО СУПРОВОДУ СІМЕЙ (ОСІБ), ЯКІ ПЕРЕБУВАЮТЬ</w:t>
      </w:r>
      <w:r w:rsidR="00A00F17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У СКЛАДНИХ ЖИТТЄВИХ ОБСТАВИНАХ</w:t>
      </w:r>
    </w:p>
    <w:p w14:paraId="16D15AF3" w14:textId="75BD5EE1" w:rsidR="007A3FF2" w:rsidRDefault="00F969C7" w:rsidP="00A00F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 </w:t>
      </w:r>
      <w:r w:rsidR="00A00F17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6B3282" w:rsidRPr="006B3282">
        <w:rPr>
          <w:rFonts w:ascii="Times New Roman" w:eastAsia="Times New Roman" w:hAnsi="Times New Roman"/>
          <w:sz w:val="28"/>
          <w:szCs w:val="28"/>
          <w:lang w:eastAsia="uk-UA"/>
        </w:rPr>
        <w:t xml:space="preserve">Для проведення внутрішньої оцінки якості надання  соціальної послуги </w:t>
      </w:r>
      <w:r w:rsidR="009B7157">
        <w:rPr>
          <w:rFonts w:ascii="Times New Roman" w:eastAsia="Times New Roman" w:hAnsi="Times New Roman"/>
          <w:sz w:val="28"/>
          <w:szCs w:val="28"/>
          <w:lang w:eastAsia="uk-UA"/>
        </w:rPr>
        <w:t>соціального супроводу</w:t>
      </w:r>
      <w:r w:rsidR="006B3282" w:rsidRPr="006B3282">
        <w:rPr>
          <w:rFonts w:ascii="Times New Roman" w:eastAsia="Times New Roman" w:hAnsi="Times New Roman"/>
          <w:sz w:val="28"/>
          <w:szCs w:val="28"/>
          <w:lang w:eastAsia="uk-UA"/>
        </w:rPr>
        <w:t xml:space="preserve"> застосовувалися показники якості соціальної послуги </w:t>
      </w:r>
      <w:r w:rsidR="00BE31E5">
        <w:rPr>
          <w:rFonts w:ascii="Times New Roman" w:eastAsia="Times New Roman" w:hAnsi="Times New Roman"/>
          <w:sz w:val="28"/>
          <w:szCs w:val="28"/>
          <w:lang w:eastAsia="uk-UA"/>
        </w:rPr>
        <w:t>соціального супроводу</w:t>
      </w:r>
      <w:r w:rsidR="006B3282" w:rsidRPr="006B3282">
        <w:rPr>
          <w:rFonts w:ascii="Times New Roman" w:eastAsia="Times New Roman" w:hAnsi="Times New Roman"/>
          <w:sz w:val="28"/>
          <w:szCs w:val="28"/>
          <w:lang w:eastAsia="uk-UA"/>
        </w:rPr>
        <w:t>, наведені  у додатку 2 до Державного стандарту</w:t>
      </w:r>
      <w:r w:rsidR="009B715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6B3282" w:rsidRPr="006B3282">
        <w:rPr>
          <w:rFonts w:ascii="Times New Roman" w:eastAsia="Times New Roman" w:hAnsi="Times New Roman"/>
          <w:sz w:val="28"/>
          <w:szCs w:val="28"/>
          <w:lang w:eastAsia="uk-UA"/>
        </w:rPr>
        <w:t>соціального супроводу сімей (осіб),</w:t>
      </w:r>
      <w:r w:rsidR="00424B0A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6B3282" w:rsidRPr="006B3282">
        <w:rPr>
          <w:rFonts w:ascii="Times New Roman" w:eastAsia="Times New Roman" w:hAnsi="Times New Roman"/>
          <w:sz w:val="28"/>
          <w:szCs w:val="28"/>
          <w:lang w:eastAsia="uk-UA"/>
        </w:rPr>
        <w:t>які перебувають у складних</w:t>
      </w:r>
      <w:r w:rsidR="009B715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6B3282" w:rsidRPr="006B3282">
        <w:rPr>
          <w:rFonts w:ascii="Times New Roman" w:eastAsia="Times New Roman" w:hAnsi="Times New Roman"/>
          <w:sz w:val="28"/>
          <w:szCs w:val="28"/>
          <w:lang w:eastAsia="uk-UA"/>
        </w:rPr>
        <w:t>життєвих обставинах.</w:t>
      </w:r>
      <w:r w:rsidR="007A3FF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14:paraId="6D1B63FC" w14:textId="186EE2B1" w:rsidR="006B3282" w:rsidRPr="006B3282" w:rsidRDefault="006B3282" w:rsidP="00A00F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B3282">
        <w:rPr>
          <w:rFonts w:ascii="Times New Roman" w:eastAsia="Times New Roman" w:hAnsi="Times New Roman"/>
          <w:sz w:val="28"/>
          <w:szCs w:val="28"/>
          <w:lang w:eastAsia="uk-UA"/>
        </w:rPr>
        <w:t xml:space="preserve">1. Частка отримувачів послуги соціального супроводу, в яких після отримання послуги відбулося покращення фізичного, психологічного, соціального стану, від загальної кількості отримувачів цієї послуги - </w:t>
      </w:r>
      <w:r w:rsidR="007D3503">
        <w:rPr>
          <w:rFonts w:ascii="Times New Roman" w:eastAsia="Times New Roman" w:hAnsi="Times New Roman"/>
          <w:sz w:val="28"/>
          <w:szCs w:val="28"/>
          <w:lang w:eastAsia="uk-UA"/>
        </w:rPr>
        <w:t>95</w:t>
      </w:r>
      <w:r w:rsidRPr="006B3282">
        <w:rPr>
          <w:rFonts w:ascii="Times New Roman" w:eastAsia="Times New Roman" w:hAnsi="Times New Roman"/>
          <w:sz w:val="28"/>
          <w:szCs w:val="28"/>
          <w:lang w:eastAsia="uk-UA"/>
        </w:rPr>
        <w:t xml:space="preserve"> %.</w:t>
      </w:r>
    </w:p>
    <w:p w14:paraId="4ED7B248" w14:textId="70829B66" w:rsidR="006B3282" w:rsidRPr="006B3282" w:rsidRDefault="006B3282" w:rsidP="00A00F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0" w:name="n141"/>
      <w:bookmarkEnd w:id="0"/>
      <w:r w:rsidRPr="006B3282">
        <w:rPr>
          <w:rFonts w:ascii="Times New Roman" w:eastAsia="Times New Roman" w:hAnsi="Times New Roman"/>
          <w:sz w:val="28"/>
          <w:szCs w:val="28"/>
          <w:lang w:eastAsia="uk-UA"/>
        </w:rPr>
        <w:t xml:space="preserve">2. Частка отримувачів послуги, які повторно отримують послугу соціального супроводу, від загальної кількості отримувачів цієї послуги - </w:t>
      </w:r>
      <w:r w:rsidR="007D3503">
        <w:rPr>
          <w:rFonts w:ascii="Times New Roman" w:eastAsia="Times New Roman" w:hAnsi="Times New Roman"/>
          <w:sz w:val="28"/>
          <w:szCs w:val="28"/>
          <w:lang w:eastAsia="uk-UA"/>
        </w:rPr>
        <w:t>5</w:t>
      </w:r>
      <w:r w:rsidRPr="006B3282">
        <w:rPr>
          <w:rFonts w:ascii="Times New Roman" w:eastAsia="Times New Roman" w:hAnsi="Times New Roman"/>
          <w:sz w:val="28"/>
          <w:szCs w:val="28"/>
          <w:lang w:eastAsia="uk-UA"/>
        </w:rPr>
        <w:t>%.</w:t>
      </w:r>
    </w:p>
    <w:p w14:paraId="43DF5830" w14:textId="3B907CF7" w:rsidR="006B3282" w:rsidRPr="006B3282" w:rsidRDefault="006B3282" w:rsidP="00A00F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1" w:name="n142"/>
      <w:bookmarkEnd w:id="1"/>
      <w:r w:rsidRPr="006B3282">
        <w:rPr>
          <w:rFonts w:ascii="Times New Roman" w:eastAsia="Times New Roman" w:hAnsi="Times New Roman"/>
          <w:sz w:val="28"/>
          <w:szCs w:val="28"/>
          <w:lang w:eastAsia="uk-UA"/>
        </w:rPr>
        <w:t xml:space="preserve">3. Частка отримувачів послуги, які не набули належних навичок справлятися із складними життєвими обставинами (далі - СЖО), від загальної кількості отримувачів цієї послуги - </w:t>
      </w:r>
      <w:r w:rsidR="00D04B0D">
        <w:rPr>
          <w:rFonts w:ascii="Times New Roman" w:eastAsia="Times New Roman" w:hAnsi="Times New Roman"/>
          <w:sz w:val="28"/>
          <w:szCs w:val="28"/>
          <w:lang w:eastAsia="uk-UA"/>
        </w:rPr>
        <w:t>5</w:t>
      </w:r>
      <w:r w:rsidRPr="006B3282">
        <w:rPr>
          <w:rFonts w:ascii="Times New Roman" w:eastAsia="Times New Roman" w:hAnsi="Times New Roman"/>
          <w:sz w:val="28"/>
          <w:szCs w:val="28"/>
          <w:lang w:eastAsia="uk-UA"/>
        </w:rPr>
        <w:t xml:space="preserve"> %.</w:t>
      </w:r>
    </w:p>
    <w:p w14:paraId="6A46EFB8" w14:textId="610BCF13" w:rsidR="006B3282" w:rsidRPr="006B3282" w:rsidRDefault="006B3282" w:rsidP="00A00F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2" w:name="n143"/>
      <w:bookmarkEnd w:id="2"/>
      <w:r w:rsidRPr="006B3282">
        <w:rPr>
          <w:rFonts w:ascii="Times New Roman" w:eastAsia="Times New Roman" w:hAnsi="Times New Roman"/>
          <w:sz w:val="28"/>
          <w:szCs w:val="28"/>
          <w:lang w:eastAsia="uk-UA"/>
        </w:rPr>
        <w:t xml:space="preserve">4. Частка отримувачів послуги, які набули навичок справлятися із СЖО та мінімізувати їхні наслідки, від загальної кількості отримувачів цієї послуги </w:t>
      </w:r>
      <w:r w:rsidR="00D04B0D">
        <w:rPr>
          <w:rFonts w:ascii="Times New Roman" w:eastAsia="Times New Roman" w:hAnsi="Times New Roman"/>
          <w:sz w:val="28"/>
          <w:szCs w:val="28"/>
          <w:lang w:eastAsia="uk-UA"/>
        </w:rPr>
        <w:t>–</w:t>
      </w:r>
      <w:r w:rsidRPr="006B32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7D3503">
        <w:rPr>
          <w:rFonts w:ascii="Times New Roman" w:eastAsia="Times New Roman" w:hAnsi="Times New Roman"/>
          <w:sz w:val="28"/>
          <w:szCs w:val="28"/>
          <w:lang w:eastAsia="uk-UA"/>
        </w:rPr>
        <w:t>95</w:t>
      </w:r>
      <w:r w:rsidR="00D04B0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6B3282">
        <w:rPr>
          <w:rFonts w:ascii="Times New Roman" w:eastAsia="Times New Roman" w:hAnsi="Times New Roman"/>
          <w:sz w:val="28"/>
          <w:szCs w:val="28"/>
          <w:lang w:eastAsia="uk-UA"/>
        </w:rPr>
        <w:t>%.</w:t>
      </w:r>
    </w:p>
    <w:p w14:paraId="3E674E38" w14:textId="7078E3E7" w:rsidR="006B3282" w:rsidRPr="006B3282" w:rsidRDefault="006B3282" w:rsidP="00A00F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3" w:name="n144"/>
      <w:bookmarkEnd w:id="3"/>
      <w:r w:rsidRPr="006B3282">
        <w:rPr>
          <w:rFonts w:ascii="Times New Roman" w:eastAsia="Times New Roman" w:hAnsi="Times New Roman"/>
          <w:sz w:val="28"/>
          <w:szCs w:val="28"/>
          <w:lang w:eastAsia="uk-UA"/>
        </w:rPr>
        <w:t>5. Частка отримувачів послуги, яким достроково завершено надання послуги соціального супроводу у зв’язку з досягненням позитивного результату, від</w:t>
      </w:r>
      <w:r w:rsidR="00867C43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6B3282">
        <w:rPr>
          <w:rFonts w:ascii="Times New Roman" w:eastAsia="Times New Roman" w:hAnsi="Times New Roman"/>
          <w:sz w:val="28"/>
          <w:szCs w:val="28"/>
          <w:lang w:eastAsia="uk-UA"/>
        </w:rPr>
        <w:t xml:space="preserve">загальної кількості отримувачів цієї послуги - </w:t>
      </w:r>
      <w:r w:rsidR="009D5311">
        <w:rPr>
          <w:rFonts w:ascii="Times New Roman" w:eastAsia="Times New Roman" w:hAnsi="Times New Roman"/>
          <w:sz w:val="28"/>
          <w:szCs w:val="28"/>
          <w:lang w:eastAsia="uk-UA"/>
        </w:rPr>
        <w:t>10</w:t>
      </w:r>
      <w:r w:rsidRPr="006B3282">
        <w:rPr>
          <w:rFonts w:ascii="Times New Roman" w:eastAsia="Times New Roman" w:hAnsi="Times New Roman"/>
          <w:sz w:val="28"/>
          <w:szCs w:val="28"/>
          <w:lang w:eastAsia="uk-UA"/>
        </w:rPr>
        <w:t xml:space="preserve"> %.</w:t>
      </w:r>
    </w:p>
    <w:p w14:paraId="1C309529" w14:textId="1DA89BD8" w:rsidR="006B3282" w:rsidRPr="006B3282" w:rsidRDefault="006B3282" w:rsidP="00A00F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4" w:name="n145"/>
      <w:bookmarkEnd w:id="4"/>
      <w:r w:rsidRPr="006B3282">
        <w:rPr>
          <w:rFonts w:ascii="Times New Roman" w:eastAsia="Times New Roman" w:hAnsi="Times New Roman"/>
          <w:sz w:val="28"/>
          <w:szCs w:val="28"/>
          <w:lang w:eastAsia="uk-UA"/>
        </w:rPr>
        <w:t>6.Частка отримувачів послуги, яким послуга надавалася відповідно до потреб отримувача, від загальної кількості отримувачів цієї послуги - 100 %.</w:t>
      </w:r>
    </w:p>
    <w:p w14:paraId="0ED6FF11" w14:textId="3B2C2C33" w:rsidR="006B3282" w:rsidRPr="006B3282" w:rsidRDefault="006B3282" w:rsidP="00A00F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5" w:name="n146"/>
      <w:bookmarkEnd w:id="5"/>
      <w:r w:rsidRPr="006B3282">
        <w:rPr>
          <w:rFonts w:ascii="Times New Roman" w:eastAsia="Times New Roman" w:hAnsi="Times New Roman"/>
          <w:sz w:val="28"/>
          <w:szCs w:val="28"/>
          <w:lang w:eastAsia="uk-UA"/>
        </w:rPr>
        <w:t>7.Частка надавачів послуги соціального супроводу, у яких перевищено навантаження відповідно до Державного стандарту соціального супроводу</w:t>
      </w:r>
      <w:r w:rsidR="00867C43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6B3282">
        <w:rPr>
          <w:rFonts w:ascii="Times New Roman" w:eastAsia="Times New Roman" w:hAnsi="Times New Roman"/>
          <w:sz w:val="28"/>
          <w:szCs w:val="28"/>
          <w:lang w:eastAsia="uk-UA"/>
        </w:rPr>
        <w:t xml:space="preserve">сімей (осіб), які перебувають у складних життєвих обставинах, від загальної кількості надавачів цієї послуги </w:t>
      </w:r>
      <w:r w:rsidR="0033562E">
        <w:rPr>
          <w:rFonts w:ascii="Times New Roman" w:eastAsia="Times New Roman" w:hAnsi="Times New Roman"/>
          <w:sz w:val="28"/>
          <w:szCs w:val="28"/>
          <w:lang w:eastAsia="uk-UA"/>
        </w:rPr>
        <w:t>–</w:t>
      </w:r>
      <w:r w:rsidRPr="006B32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33562E">
        <w:rPr>
          <w:rFonts w:ascii="Times New Roman" w:eastAsia="Times New Roman" w:hAnsi="Times New Roman"/>
          <w:sz w:val="28"/>
          <w:szCs w:val="28"/>
          <w:lang w:eastAsia="uk-UA"/>
        </w:rPr>
        <w:t xml:space="preserve">190 </w:t>
      </w:r>
      <w:r w:rsidRPr="006B3282">
        <w:rPr>
          <w:rFonts w:ascii="Times New Roman" w:eastAsia="Times New Roman" w:hAnsi="Times New Roman"/>
          <w:sz w:val="28"/>
          <w:szCs w:val="28"/>
          <w:lang w:eastAsia="uk-UA"/>
        </w:rPr>
        <w:t>%.</w:t>
      </w:r>
    </w:p>
    <w:p w14:paraId="6903F95A" w14:textId="4636D63F" w:rsidR="006B3282" w:rsidRPr="006B3282" w:rsidRDefault="006B3282" w:rsidP="00A00F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6" w:name="n147"/>
      <w:bookmarkEnd w:id="6"/>
      <w:r w:rsidRPr="006B3282">
        <w:rPr>
          <w:rFonts w:ascii="Times New Roman" w:eastAsia="Times New Roman" w:hAnsi="Times New Roman"/>
          <w:sz w:val="28"/>
          <w:szCs w:val="28"/>
          <w:lang w:eastAsia="uk-UA"/>
        </w:rPr>
        <w:t>8.Рівень забезпечення приміщеннями, обладнанням і витратними матеріалами, необхідними для надання послуги відповідно до встановлених норм – 100 %.</w:t>
      </w:r>
    </w:p>
    <w:p w14:paraId="5881EB27" w14:textId="2CAEFE11" w:rsidR="006B3282" w:rsidRDefault="006B3282" w:rsidP="00A00F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B3282">
        <w:rPr>
          <w:rFonts w:ascii="Times New Roman" w:eastAsia="Times New Roman" w:hAnsi="Times New Roman"/>
          <w:sz w:val="28"/>
          <w:szCs w:val="28"/>
          <w:lang w:eastAsia="uk-UA"/>
        </w:rPr>
        <w:t>Якість послуги відповідає  встановленому рівню – «Добре».</w:t>
      </w:r>
    </w:p>
    <w:p w14:paraId="5055AAE4" w14:textId="77777777" w:rsidR="00C20848" w:rsidRPr="006B3282" w:rsidRDefault="00C20848" w:rsidP="006B32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0B2721DF" w14:textId="3A6E7651" w:rsidR="006B3282" w:rsidRPr="006B3282" w:rsidRDefault="006B3282" w:rsidP="002419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6B3282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СОЦІАЛЬНА ПОСЛУГА СОЦІАЛЬНОГО СУПРОВОДУ СІМЕЙ, </w:t>
      </w:r>
      <w:r w:rsidR="00607FE5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У ЯКИХ ВИХОВУЮТЬСЯ ДІТИ-СИРОТИ ТА</w:t>
      </w:r>
      <w:r w:rsidRPr="006B3282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ДІТИ, ПОЗБАВЛЕНІ БАТЬКІВСЬКОГО ПІКЛУВАННЯ</w:t>
      </w:r>
    </w:p>
    <w:p w14:paraId="157072D9" w14:textId="5DE664E7" w:rsidR="006B3282" w:rsidRPr="006B3282" w:rsidRDefault="00052F71" w:rsidP="00DD4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  </w:t>
      </w:r>
      <w:r w:rsidR="00EC1EC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A00F17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6B3282" w:rsidRPr="006B3282">
        <w:rPr>
          <w:rFonts w:ascii="Times New Roman" w:eastAsia="Times New Roman" w:hAnsi="Times New Roman"/>
          <w:sz w:val="28"/>
          <w:szCs w:val="28"/>
          <w:lang w:eastAsia="uk-UA"/>
        </w:rPr>
        <w:t>Для проведення внутрішньої оцінки якості надання  соціальної послуги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соціального</w:t>
      </w:r>
      <w:r w:rsidR="006B3282" w:rsidRPr="006B3282">
        <w:rPr>
          <w:rFonts w:ascii="Times New Roman" w:eastAsia="Times New Roman" w:hAnsi="Times New Roman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супроводу сімей, у яких виховуються діти – сироти і діти, позбавлені батьківського піклування </w:t>
      </w:r>
      <w:r w:rsidR="006B3282" w:rsidRPr="006B3282">
        <w:rPr>
          <w:rFonts w:ascii="Times New Roman" w:eastAsia="Times New Roman" w:hAnsi="Times New Roman"/>
          <w:sz w:val="28"/>
          <w:szCs w:val="28"/>
          <w:lang w:eastAsia="uk-UA"/>
        </w:rPr>
        <w:t>застосовувалися показники якості соціальної послуги консультування, наведені  у додатку 2 до Державного стандарту соціального супроводу сімей, у яких виховуються діти-сироти і діти, позбавлені батьківського піклування.</w:t>
      </w:r>
    </w:p>
    <w:p w14:paraId="15F29E6A" w14:textId="77777777" w:rsidR="006B3282" w:rsidRPr="006B3282" w:rsidRDefault="006B3282" w:rsidP="00DD4B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B3282">
        <w:rPr>
          <w:rFonts w:ascii="Times New Roman" w:eastAsia="Times New Roman" w:hAnsi="Times New Roman"/>
          <w:sz w:val="28"/>
          <w:szCs w:val="28"/>
          <w:lang w:eastAsia="uk-UA"/>
        </w:rPr>
        <w:t>1. Частка отримувачів послуги (діти-сироти і діти, позбавлені батьківського піклування), які були повернуті до закладів для дітей-сиріт і дітей, позбавлених батьківського піклування, через відсутність взаєморозуміння, від загальної кількості дітей, влаштованих у сімейні форми виховання - 0 %.</w:t>
      </w:r>
    </w:p>
    <w:p w14:paraId="17B40919" w14:textId="6B43284A" w:rsidR="006B3282" w:rsidRPr="006B3282" w:rsidRDefault="006B3282" w:rsidP="00DD4B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7" w:name="n137"/>
      <w:bookmarkEnd w:id="7"/>
      <w:r w:rsidRPr="006B3282">
        <w:rPr>
          <w:rFonts w:ascii="Times New Roman" w:eastAsia="Times New Roman" w:hAnsi="Times New Roman"/>
          <w:sz w:val="28"/>
          <w:szCs w:val="28"/>
          <w:lang w:eastAsia="uk-UA"/>
        </w:rPr>
        <w:t>2.Частка сімей, у яких виховуються діти-сироти і діти, позбавлені батьківського піклування, що припинили своє функціонування з причин неготовності опікунів, піклувальників, прийомних батьків, батьків-вихователів до виконання своїх функцій - 0 %.</w:t>
      </w:r>
    </w:p>
    <w:p w14:paraId="70CDCD96" w14:textId="0A6DA1C9" w:rsidR="006B3282" w:rsidRPr="006B3282" w:rsidRDefault="006B3282" w:rsidP="00DD4B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8" w:name="n138"/>
      <w:bookmarkEnd w:id="8"/>
      <w:r w:rsidRPr="006B3282">
        <w:rPr>
          <w:rFonts w:ascii="Times New Roman" w:eastAsia="Times New Roman" w:hAnsi="Times New Roman"/>
          <w:sz w:val="28"/>
          <w:szCs w:val="28"/>
          <w:lang w:eastAsia="uk-UA"/>
        </w:rPr>
        <w:t>3.Відсутність скарг щодо надавача соціальної послуги соціального супроводу сімей, у яких виховуються діти-сироти і діти, позбавлені батьківського піклування – 0%.</w:t>
      </w:r>
      <w:bookmarkStart w:id="9" w:name="n139"/>
      <w:bookmarkEnd w:id="9"/>
    </w:p>
    <w:p w14:paraId="2254D49A" w14:textId="2AE45C16" w:rsidR="006B3282" w:rsidRPr="006B3282" w:rsidRDefault="006B3282" w:rsidP="00DD4B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B3282">
        <w:rPr>
          <w:rFonts w:ascii="Times New Roman" w:eastAsia="Times New Roman" w:hAnsi="Times New Roman"/>
          <w:sz w:val="28"/>
          <w:szCs w:val="28"/>
          <w:lang w:eastAsia="uk-UA"/>
        </w:rPr>
        <w:t>4.Отримувач соціальної послуги соціального супроводу сімей, у яких виховуються діти-сироти і діти, позбавлені батьківського піклування, залучається до прийняття рішень в процесі здійснення усіх етапів соціальної послуги соціального супроводу та до процесу оцінювання якості її надання – 100 %.</w:t>
      </w:r>
    </w:p>
    <w:p w14:paraId="2B6CDB02" w14:textId="5A80CEA5" w:rsidR="006B3282" w:rsidRPr="006B3282" w:rsidRDefault="006B3282" w:rsidP="00DD4B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10" w:name="n140"/>
      <w:bookmarkEnd w:id="10"/>
      <w:r w:rsidRPr="006B3282">
        <w:rPr>
          <w:rFonts w:ascii="Times New Roman" w:eastAsia="Times New Roman" w:hAnsi="Times New Roman"/>
          <w:sz w:val="28"/>
          <w:szCs w:val="28"/>
          <w:lang w:eastAsia="uk-UA"/>
        </w:rPr>
        <w:t>5.Дотримання строк</w:t>
      </w:r>
      <w:r w:rsidR="00867C43">
        <w:rPr>
          <w:rFonts w:ascii="Times New Roman" w:eastAsia="Times New Roman" w:hAnsi="Times New Roman"/>
          <w:sz w:val="28"/>
          <w:szCs w:val="28"/>
          <w:lang w:eastAsia="uk-UA"/>
        </w:rPr>
        <w:t xml:space="preserve">ів </w:t>
      </w:r>
      <w:r w:rsidRPr="006B3282">
        <w:rPr>
          <w:rFonts w:ascii="Times New Roman" w:eastAsia="Times New Roman" w:hAnsi="Times New Roman"/>
          <w:sz w:val="28"/>
          <w:szCs w:val="28"/>
          <w:lang w:eastAsia="uk-UA"/>
        </w:rPr>
        <w:t xml:space="preserve">відвідування отримувача соціальної послуги соціального супроводу за місцем його проживання (перебування) – </w:t>
      </w:r>
      <w:r w:rsidR="00A10788">
        <w:rPr>
          <w:rFonts w:ascii="Times New Roman" w:eastAsia="Times New Roman" w:hAnsi="Times New Roman"/>
          <w:sz w:val="28"/>
          <w:szCs w:val="28"/>
          <w:lang w:eastAsia="uk-UA"/>
        </w:rPr>
        <w:t>8</w:t>
      </w:r>
      <w:r w:rsidRPr="006B3282">
        <w:rPr>
          <w:rFonts w:ascii="Times New Roman" w:eastAsia="Times New Roman" w:hAnsi="Times New Roman"/>
          <w:sz w:val="28"/>
          <w:szCs w:val="28"/>
          <w:lang w:eastAsia="uk-UA"/>
        </w:rPr>
        <w:t>0 %.</w:t>
      </w:r>
    </w:p>
    <w:p w14:paraId="0A1AA503" w14:textId="6445760D" w:rsidR="006B3282" w:rsidRPr="006B3282" w:rsidRDefault="00DD4BD6" w:rsidP="00DD4B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6.</w:t>
      </w:r>
      <w:r w:rsidR="006B3282" w:rsidRPr="006B3282">
        <w:rPr>
          <w:rFonts w:ascii="Times New Roman" w:eastAsia="Times New Roman" w:hAnsi="Times New Roman"/>
          <w:sz w:val="28"/>
          <w:szCs w:val="28"/>
          <w:lang w:eastAsia="uk-UA"/>
        </w:rPr>
        <w:t>Частка надавачів соціальної послуги соціального супроводу сім’ям, у яких виховуються діти-сироти і діти, позбавлені батьківського піклування, які мають відповідну фахову освіту (</w:t>
      </w:r>
      <w:r w:rsidR="002E0CB0">
        <w:rPr>
          <w:rFonts w:ascii="Times New Roman" w:eastAsia="Times New Roman" w:hAnsi="Times New Roman"/>
          <w:sz w:val="28"/>
          <w:szCs w:val="28"/>
          <w:lang w:eastAsia="uk-UA"/>
        </w:rPr>
        <w:t>85</w:t>
      </w:r>
      <w:r w:rsidR="006B3282" w:rsidRPr="006B3282">
        <w:rPr>
          <w:rFonts w:ascii="Times New Roman" w:eastAsia="Times New Roman" w:hAnsi="Times New Roman"/>
          <w:sz w:val="28"/>
          <w:szCs w:val="28"/>
          <w:lang w:eastAsia="uk-UA"/>
        </w:rPr>
        <w:t xml:space="preserve"> %), пройшли відповідне навчання (</w:t>
      </w:r>
      <w:r w:rsidR="002E0CB0">
        <w:rPr>
          <w:rFonts w:ascii="Times New Roman" w:eastAsia="Times New Roman" w:hAnsi="Times New Roman"/>
          <w:sz w:val="28"/>
          <w:szCs w:val="28"/>
          <w:lang w:eastAsia="uk-UA"/>
        </w:rPr>
        <w:t>50</w:t>
      </w:r>
      <w:r w:rsidR="006B3282" w:rsidRPr="006B3282">
        <w:rPr>
          <w:rFonts w:ascii="Times New Roman" w:eastAsia="Times New Roman" w:hAnsi="Times New Roman"/>
          <w:sz w:val="28"/>
          <w:szCs w:val="28"/>
          <w:lang w:eastAsia="uk-UA"/>
        </w:rPr>
        <w:t xml:space="preserve"> %), пройшли чергове підвищення кваліфікації, від кількості тих, які потребують такої підготовки (0 %).</w:t>
      </w:r>
    </w:p>
    <w:p w14:paraId="3B3909EE" w14:textId="5979FD65" w:rsidR="006B3282" w:rsidRPr="006B3282" w:rsidRDefault="006B3282" w:rsidP="00DD4B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B3282">
        <w:rPr>
          <w:rFonts w:ascii="Times New Roman" w:eastAsia="Times New Roman" w:hAnsi="Times New Roman"/>
          <w:sz w:val="28"/>
          <w:szCs w:val="28"/>
          <w:lang w:eastAsia="uk-UA"/>
        </w:rPr>
        <w:t>7.Частка надавачів соціальної послуги соціального супроводу сімей, у яких виховуються діти-сироти і діти, позбавлені батьківського піклування, навантаження яких перевищує показник, визначений Державним стандартом соціального супроводу сімей, у яких виховуються діти-сироти і діти, позбавлені батьківського піклування, від загальної кількості надавачів цієї послуги – 0 %.</w:t>
      </w:r>
    </w:p>
    <w:p w14:paraId="163EBEE3" w14:textId="5FF1C75C" w:rsidR="006B3282" w:rsidRPr="006B3282" w:rsidRDefault="006B3282" w:rsidP="00DD4B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B3282">
        <w:rPr>
          <w:rFonts w:ascii="Times New Roman" w:eastAsia="Times New Roman" w:hAnsi="Times New Roman"/>
          <w:sz w:val="28"/>
          <w:szCs w:val="28"/>
          <w:lang w:eastAsia="uk-UA"/>
        </w:rPr>
        <w:t>8.Рівень забезпечення приміщеннями, обладнанням і витратними матеріалами, необхідними для надання соціальної послуги соціального супроводу відповідно до встановлених норм – 100 %.</w:t>
      </w:r>
    </w:p>
    <w:p w14:paraId="002DD2A0" w14:textId="5A0408D2" w:rsidR="006B3282" w:rsidRDefault="006B3282" w:rsidP="00DD4B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B3282">
        <w:rPr>
          <w:rFonts w:ascii="Times New Roman" w:eastAsia="Times New Roman" w:hAnsi="Times New Roman"/>
          <w:sz w:val="28"/>
          <w:szCs w:val="28"/>
          <w:lang w:eastAsia="uk-UA"/>
        </w:rPr>
        <w:t>Якість послуги відповідає  встановленому рівню – «Добре»</w:t>
      </w:r>
      <w:r w:rsidR="00C20848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14:paraId="67D33541" w14:textId="77777777" w:rsidR="00C20848" w:rsidRPr="006B3282" w:rsidRDefault="00C20848" w:rsidP="006B32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78F5F487" w14:textId="77777777" w:rsidR="006B3282" w:rsidRPr="006B3282" w:rsidRDefault="006B3282" w:rsidP="00C208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6B3282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СОЦІАЛЬНА ПОСЛУГА ПРОФІЛАКТИКИ</w:t>
      </w:r>
    </w:p>
    <w:p w14:paraId="7B5FBFBB" w14:textId="1B8BE1EF" w:rsidR="006B3282" w:rsidRPr="006B3282" w:rsidRDefault="0034462C" w:rsidP="00344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 </w:t>
      </w:r>
      <w:r w:rsidR="00DD4BD6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6B3282" w:rsidRPr="006B3282">
        <w:rPr>
          <w:rFonts w:ascii="Times New Roman" w:eastAsia="Times New Roman" w:hAnsi="Times New Roman"/>
          <w:sz w:val="28"/>
          <w:szCs w:val="28"/>
          <w:lang w:eastAsia="uk-UA"/>
        </w:rPr>
        <w:t xml:space="preserve">Для проведення внутрішньої оцінки якості надання  соціальної послуги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профілактики</w:t>
      </w:r>
      <w:r w:rsidR="006B3282" w:rsidRPr="006B3282">
        <w:rPr>
          <w:rFonts w:ascii="Times New Roman" w:eastAsia="Times New Roman" w:hAnsi="Times New Roman"/>
          <w:sz w:val="28"/>
          <w:szCs w:val="28"/>
          <w:lang w:eastAsia="uk-UA"/>
        </w:rPr>
        <w:t xml:space="preserve"> застосовувалися показники якості соціальної послуги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профілактики</w:t>
      </w:r>
      <w:r w:rsidR="006B3282" w:rsidRPr="006B3282">
        <w:rPr>
          <w:rFonts w:ascii="Times New Roman" w:eastAsia="Times New Roman" w:hAnsi="Times New Roman"/>
          <w:sz w:val="28"/>
          <w:szCs w:val="28"/>
          <w:lang w:eastAsia="uk-UA"/>
        </w:rPr>
        <w:t>, наведені  у додатку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6B3282" w:rsidRPr="006B3282">
        <w:rPr>
          <w:rFonts w:ascii="Times New Roman" w:eastAsia="Times New Roman" w:hAnsi="Times New Roman"/>
          <w:sz w:val="28"/>
          <w:szCs w:val="28"/>
          <w:lang w:eastAsia="uk-UA"/>
        </w:rPr>
        <w:t>4 до Державного стандарту соціальної послуги профілактики.</w:t>
      </w:r>
    </w:p>
    <w:p w14:paraId="234B5056" w14:textId="42E91076" w:rsidR="006B3282" w:rsidRDefault="007E776E" w:rsidP="006B32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</w:t>
      </w:r>
      <w:r w:rsidR="00DD4BD6">
        <w:rPr>
          <w:rFonts w:ascii="Times New Roman" w:eastAsia="Times New Roman" w:hAnsi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6B3282" w:rsidRPr="006B3282">
        <w:rPr>
          <w:rFonts w:ascii="Times New Roman" w:eastAsia="Times New Roman" w:hAnsi="Times New Roman"/>
          <w:sz w:val="28"/>
          <w:szCs w:val="28"/>
          <w:lang w:eastAsia="uk-UA"/>
        </w:rPr>
        <w:t>Оцінка якості соціальних послуг визначається  із застосуванням шкали оцінки якісних  та кількісних показників якості надання соціальних послуг зазначеної в Додатку 2 до пункту 3.5 Методичних рекомендацій з проведення моніторингу та оцінки якості соціальних послуг.</w:t>
      </w:r>
    </w:p>
    <w:tbl>
      <w:tblPr>
        <w:tblStyle w:val="a6"/>
        <w:tblW w:w="9356" w:type="dxa"/>
        <w:tblInd w:w="108" w:type="dxa"/>
        <w:tblLook w:val="04A0" w:firstRow="1" w:lastRow="0" w:firstColumn="1" w:lastColumn="0" w:noHBand="0" w:noVBand="1"/>
      </w:tblPr>
      <w:tblGrid>
        <w:gridCol w:w="2694"/>
        <w:gridCol w:w="1984"/>
        <w:gridCol w:w="1985"/>
        <w:gridCol w:w="2693"/>
      </w:tblGrid>
      <w:tr w:rsidR="007E776E" w14:paraId="3F6D87C9" w14:textId="77777777" w:rsidTr="00264E58">
        <w:tc>
          <w:tcPr>
            <w:tcW w:w="2694" w:type="dxa"/>
          </w:tcPr>
          <w:p w14:paraId="56A33D20" w14:textId="77777777" w:rsidR="007E776E" w:rsidRPr="0004113A" w:rsidRDefault="007E776E" w:rsidP="007E776E">
            <w:p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411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Показники кількісні</w:t>
            </w:r>
          </w:p>
          <w:p w14:paraId="27F67F7A" w14:textId="4F6CC6D2" w:rsidR="007E776E" w:rsidRPr="0004113A" w:rsidRDefault="007E776E" w:rsidP="007E776E">
            <w:p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411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84" w:type="dxa"/>
          </w:tcPr>
          <w:p w14:paraId="09BDDB8B" w14:textId="35D20BD0" w:rsidR="007E776E" w:rsidRPr="0004113A" w:rsidRDefault="007E776E" w:rsidP="007E776E">
            <w:p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411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Від 0% до 50%</w:t>
            </w:r>
          </w:p>
        </w:tc>
        <w:tc>
          <w:tcPr>
            <w:tcW w:w="1985" w:type="dxa"/>
          </w:tcPr>
          <w:p w14:paraId="0AD88ABC" w14:textId="37C285C6" w:rsidR="007E776E" w:rsidRPr="0004113A" w:rsidRDefault="007E776E" w:rsidP="007E776E">
            <w:p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411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Від 51% до 79%</w:t>
            </w:r>
          </w:p>
        </w:tc>
        <w:tc>
          <w:tcPr>
            <w:tcW w:w="2693" w:type="dxa"/>
          </w:tcPr>
          <w:p w14:paraId="62F24C9F" w14:textId="6EF9484C" w:rsidR="007E776E" w:rsidRPr="0004113A" w:rsidRDefault="007E776E" w:rsidP="007E776E">
            <w:p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411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Від 80% до</w:t>
            </w:r>
            <w:r w:rsidR="00264E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0411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100%</w:t>
            </w:r>
          </w:p>
        </w:tc>
      </w:tr>
      <w:tr w:rsidR="007E776E" w14:paraId="6A79FCE0" w14:textId="77777777" w:rsidTr="00264E58">
        <w:tc>
          <w:tcPr>
            <w:tcW w:w="2694" w:type="dxa"/>
          </w:tcPr>
          <w:p w14:paraId="1B144A19" w14:textId="77777777" w:rsidR="007E776E" w:rsidRPr="0004113A" w:rsidRDefault="007E776E" w:rsidP="00B4146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4113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Кількість скарг та</w:t>
            </w:r>
          </w:p>
          <w:p w14:paraId="08CC80A9" w14:textId="77777777" w:rsidR="007E776E" w:rsidRPr="0004113A" w:rsidRDefault="007E776E" w:rsidP="00B4146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4113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результат їх розгляду</w:t>
            </w:r>
          </w:p>
          <w:p w14:paraId="2EE3C84A" w14:textId="076A019C" w:rsidR="00B4146D" w:rsidRPr="0004113A" w:rsidRDefault="00B4146D" w:rsidP="00B4146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</w:tcPr>
          <w:p w14:paraId="294C1C0C" w14:textId="561BE994" w:rsidR="007E776E" w:rsidRPr="0004113A" w:rsidRDefault="007E776E" w:rsidP="00B4146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4113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«добре»</w:t>
            </w:r>
          </w:p>
        </w:tc>
        <w:tc>
          <w:tcPr>
            <w:tcW w:w="1985" w:type="dxa"/>
          </w:tcPr>
          <w:p w14:paraId="6245F7A0" w14:textId="3C92CF20" w:rsidR="007E776E" w:rsidRPr="0004113A" w:rsidRDefault="007E776E" w:rsidP="00B4146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4113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693" w:type="dxa"/>
          </w:tcPr>
          <w:p w14:paraId="3144962F" w14:textId="77777777" w:rsidR="007E776E" w:rsidRPr="0004113A" w:rsidRDefault="007E776E" w:rsidP="00B4146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7E776E" w14:paraId="64494911" w14:textId="77777777" w:rsidTr="00264E58">
        <w:tc>
          <w:tcPr>
            <w:tcW w:w="2694" w:type="dxa"/>
          </w:tcPr>
          <w:p w14:paraId="5447473E" w14:textId="77777777" w:rsidR="007E776E" w:rsidRPr="0004113A" w:rsidRDefault="007E776E" w:rsidP="00B4146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4113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Кількість задоволених</w:t>
            </w:r>
          </w:p>
          <w:p w14:paraId="4D84EF5D" w14:textId="77777777" w:rsidR="007E776E" w:rsidRPr="0004113A" w:rsidRDefault="007E776E" w:rsidP="00B4146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4113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звернень про отримання</w:t>
            </w:r>
          </w:p>
          <w:p w14:paraId="022C1115" w14:textId="77777777" w:rsidR="007E776E" w:rsidRPr="0004113A" w:rsidRDefault="007E776E" w:rsidP="00B4146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4113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послуги</w:t>
            </w:r>
          </w:p>
          <w:p w14:paraId="2F2F5A1A" w14:textId="287095B5" w:rsidR="00B4146D" w:rsidRPr="0004113A" w:rsidRDefault="00B4146D" w:rsidP="00B4146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</w:tcPr>
          <w:p w14:paraId="1D929F0A" w14:textId="07DCA364" w:rsidR="007E776E" w:rsidRPr="0004113A" w:rsidRDefault="007E776E" w:rsidP="00B4146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4113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985" w:type="dxa"/>
          </w:tcPr>
          <w:p w14:paraId="0B282922" w14:textId="6720E26D" w:rsidR="007E776E" w:rsidRPr="0004113A" w:rsidRDefault="007E776E" w:rsidP="00B4146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4113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693" w:type="dxa"/>
          </w:tcPr>
          <w:p w14:paraId="20F07BA6" w14:textId="19CFC98E" w:rsidR="007E776E" w:rsidRPr="0004113A" w:rsidRDefault="007E776E" w:rsidP="00B4146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4113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«добре»</w:t>
            </w:r>
          </w:p>
        </w:tc>
      </w:tr>
      <w:tr w:rsidR="007E776E" w14:paraId="154E8F34" w14:textId="77777777" w:rsidTr="00264E58">
        <w:tc>
          <w:tcPr>
            <w:tcW w:w="2694" w:type="dxa"/>
          </w:tcPr>
          <w:p w14:paraId="3F4F25E5" w14:textId="77777777" w:rsidR="007E776E" w:rsidRPr="0004113A" w:rsidRDefault="007E776E" w:rsidP="00B4146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4113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Кількість працівників, які</w:t>
            </w:r>
          </w:p>
          <w:p w14:paraId="34911E1B" w14:textId="77777777" w:rsidR="007E776E" w:rsidRPr="0004113A" w:rsidRDefault="007E776E" w:rsidP="00B4146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4113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підвищили кваліфікацію</w:t>
            </w:r>
          </w:p>
          <w:p w14:paraId="1357D882" w14:textId="6F97FB50" w:rsidR="00B4146D" w:rsidRPr="0004113A" w:rsidRDefault="00B4146D" w:rsidP="00B4146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</w:tcPr>
          <w:p w14:paraId="236D006C" w14:textId="3674F7E3" w:rsidR="007E776E" w:rsidRPr="0004113A" w:rsidRDefault="007E776E" w:rsidP="00B4146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4113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985" w:type="dxa"/>
          </w:tcPr>
          <w:p w14:paraId="17920429" w14:textId="739B6DB3" w:rsidR="007E776E" w:rsidRPr="0004113A" w:rsidRDefault="007E776E" w:rsidP="00B4146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4113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693" w:type="dxa"/>
          </w:tcPr>
          <w:p w14:paraId="39007BCB" w14:textId="53740083" w:rsidR="007E776E" w:rsidRPr="0004113A" w:rsidRDefault="007E776E" w:rsidP="00B4146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4113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«добре»</w:t>
            </w:r>
          </w:p>
        </w:tc>
      </w:tr>
      <w:tr w:rsidR="007E776E" w14:paraId="408C6792" w14:textId="77777777" w:rsidTr="00264E58">
        <w:tc>
          <w:tcPr>
            <w:tcW w:w="2694" w:type="dxa"/>
          </w:tcPr>
          <w:p w14:paraId="656E165E" w14:textId="77777777" w:rsidR="007E776E" w:rsidRPr="0004113A" w:rsidRDefault="007E776E" w:rsidP="00B4146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4113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Моніторинг та оцінка</w:t>
            </w:r>
          </w:p>
          <w:p w14:paraId="51870105" w14:textId="4B5CF52E" w:rsidR="007E776E" w:rsidRPr="0004113A" w:rsidRDefault="007E776E" w:rsidP="00B4146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4113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якості проводиться щороку</w:t>
            </w:r>
          </w:p>
        </w:tc>
        <w:tc>
          <w:tcPr>
            <w:tcW w:w="1984" w:type="dxa"/>
          </w:tcPr>
          <w:p w14:paraId="0C6A5C62" w14:textId="4056A106" w:rsidR="007E776E" w:rsidRPr="0004113A" w:rsidRDefault="007E776E" w:rsidP="00B4146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4113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985" w:type="dxa"/>
          </w:tcPr>
          <w:p w14:paraId="095FF5E2" w14:textId="2CCC60C4" w:rsidR="007E776E" w:rsidRPr="0004113A" w:rsidRDefault="007E776E" w:rsidP="00B4146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4113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693" w:type="dxa"/>
          </w:tcPr>
          <w:p w14:paraId="46B376E4" w14:textId="244476B6" w:rsidR="007E776E" w:rsidRPr="0004113A" w:rsidRDefault="007E776E" w:rsidP="00B4146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4113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«добре»</w:t>
            </w:r>
          </w:p>
        </w:tc>
      </w:tr>
    </w:tbl>
    <w:p w14:paraId="41D67C6C" w14:textId="206D4730" w:rsidR="006B3282" w:rsidRPr="006B3282" w:rsidRDefault="006B3282" w:rsidP="006B32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8"/>
        <w:gridCol w:w="1944"/>
        <w:gridCol w:w="1915"/>
        <w:gridCol w:w="1857"/>
      </w:tblGrid>
      <w:tr w:rsidR="006B3282" w:rsidRPr="006B3282" w14:paraId="7D16C200" w14:textId="77777777" w:rsidTr="0004113A">
        <w:tc>
          <w:tcPr>
            <w:tcW w:w="364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701299" w14:textId="77777777" w:rsidR="006B3282" w:rsidRPr="0004113A" w:rsidRDefault="006B3282" w:rsidP="006211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411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Показники якісні</w:t>
            </w:r>
          </w:p>
        </w:tc>
        <w:tc>
          <w:tcPr>
            <w:tcW w:w="194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3E3666" w14:textId="61721F6A" w:rsidR="006B3282" w:rsidRDefault="006B3282" w:rsidP="006211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0411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Від 80% до 100%  (добре)</w:t>
            </w:r>
          </w:p>
          <w:p w14:paraId="722C0F87" w14:textId="77777777" w:rsidR="00871215" w:rsidRDefault="00871215" w:rsidP="006211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  <w:p w14:paraId="52866FD7" w14:textId="43EE9105" w:rsidR="00C30EE3" w:rsidRPr="003963A3" w:rsidRDefault="00C30EE3" w:rsidP="006211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B25367" w14:textId="77777777" w:rsidR="003963A3" w:rsidRDefault="006B3282" w:rsidP="006211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0411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Від 51% до 79%</w:t>
            </w:r>
          </w:p>
          <w:p w14:paraId="0AA72649" w14:textId="317933EE" w:rsidR="006B3282" w:rsidRPr="0004113A" w:rsidRDefault="006B3282" w:rsidP="006211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411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(задовільно)</w:t>
            </w:r>
          </w:p>
        </w:tc>
        <w:tc>
          <w:tcPr>
            <w:tcW w:w="185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746508" w14:textId="77777777" w:rsidR="006B3282" w:rsidRPr="0004113A" w:rsidRDefault="006B3282" w:rsidP="006211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411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Від 0% до 50%</w:t>
            </w:r>
          </w:p>
          <w:p w14:paraId="1154CBAF" w14:textId="77777777" w:rsidR="006B3282" w:rsidRPr="0004113A" w:rsidRDefault="006B3282" w:rsidP="006211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411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(незадовільно)</w:t>
            </w:r>
          </w:p>
        </w:tc>
      </w:tr>
      <w:tr w:rsidR="006B3282" w:rsidRPr="006B3282" w14:paraId="76427A57" w14:textId="77777777" w:rsidTr="0004113A">
        <w:tc>
          <w:tcPr>
            <w:tcW w:w="364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1D7A80" w14:textId="77777777" w:rsidR="006B3282" w:rsidRPr="0004113A" w:rsidRDefault="006B3282" w:rsidP="006B3282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4113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Адресність та</w:t>
            </w:r>
          </w:p>
          <w:p w14:paraId="1EF16E1F" w14:textId="77777777" w:rsidR="006B3282" w:rsidRPr="0004113A" w:rsidRDefault="006B3282" w:rsidP="006B3282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4113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Індивідуальний підхід</w:t>
            </w:r>
          </w:p>
        </w:tc>
        <w:tc>
          <w:tcPr>
            <w:tcW w:w="194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1A6B36" w14:textId="77777777" w:rsidR="006B3282" w:rsidRPr="0004113A" w:rsidRDefault="006B3282" w:rsidP="006B3282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4113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91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8FC931" w14:textId="77777777" w:rsidR="006B3282" w:rsidRPr="0004113A" w:rsidRDefault="006B3282" w:rsidP="006B3282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4113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«задовільно»</w:t>
            </w:r>
          </w:p>
        </w:tc>
        <w:tc>
          <w:tcPr>
            <w:tcW w:w="185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2616B8" w14:textId="77777777" w:rsidR="006B3282" w:rsidRPr="0004113A" w:rsidRDefault="006B3282" w:rsidP="006B3282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4113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6B3282" w:rsidRPr="006B3282" w14:paraId="1E32968F" w14:textId="77777777" w:rsidTr="0004113A">
        <w:tc>
          <w:tcPr>
            <w:tcW w:w="364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5C5237" w14:textId="77777777" w:rsidR="006B3282" w:rsidRPr="0004113A" w:rsidRDefault="006B3282" w:rsidP="006B3282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4113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Результативність</w:t>
            </w:r>
          </w:p>
        </w:tc>
        <w:tc>
          <w:tcPr>
            <w:tcW w:w="194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CAF680" w14:textId="77777777" w:rsidR="006B3282" w:rsidRPr="0004113A" w:rsidRDefault="006B3282" w:rsidP="006B3282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4113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«добре»</w:t>
            </w:r>
          </w:p>
        </w:tc>
        <w:tc>
          <w:tcPr>
            <w:tcW w:w="191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5F6357" w14:textId="77777777" w:rsidR="006B3282" w:rsidRPr="0004113A" w:rsidRDefault="006B3282" w:rsidP="006B3282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4113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85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72EE73" w14:textId="77777777" w:rsidR="006B3282" w:rsidRPr="0004113A" w:rsidRDefault="006B3282" w:rsidP="006B3282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4113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6B3282" w:rsidRPr="006B3282" w14:paraId="3E657215" w14:textId="77777777" w:rsidTr="0004113A">
        <w:tc>
          <w:tcPr>
            <w:tcW w:w="364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C6AB31" w14:textId="77777777" w:rsidR="006B3282" w:rsidRPr="0004113A" w:rsidRDefault="006B3282" w:rsidP="006B3282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4113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Своєчасність</w:t>
            </w:r>
          </w:p>
        </w:tc>
        <w:tc>
          <w:tcPr>
            <w:tcW w:w="194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A235F8" w14:textId="77777777" w:rsidR="006B3282" w:rsidRPr="0004113A" w:rsidRDefault="006B3282" w:rsidP="006B3282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4113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«добре»</w:t>
            </w:r>
          </w:p>
        </w:tc>
        <w:tc>
          <w:tcPr>
            <w:tcW w:w="191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FD234A" w14:textId="77777777" w:rsidR="006B3282" w:rsidRPr="0004113A" w:rsidRDefault="006B3282" w:rsidP="006B3282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4113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85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3FB090" w14:textId="77777777" w:rsidR="006B3282" w:rsidRPr="0004113A" w:rsidRDefault="006B3282" w:rsidP="006B3282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4113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6B3282" w:rsidRPr="006B3282" w14:paraId="38BD1F98" w14:textId="77777777" w:rsidTr="0004113A">
        <w:tc>
          <w:tcPr>
            <w:tcW w:w="364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D66D83" w14:textId="77777777" w:rsidR="006B3282" w:rsidRPr="0004113A" w:rsidRDefault="006B3282" w:rsidP="006B3282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4113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Доступність</w:t>
            </w:r>
          </w:p>
        </w:tc>
        <w:tc>
          <w:tcPr>
            <w:tcW w:w="194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342B48" w14:textId="77777777" w:rsidR="006B3282" w:rsidRPr="0004113A" w:rsidRDefault="006B3282" w:rsidP="006B3282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4113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91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6D4A31" w14:textId="77777777" w:rsidR="006B3282" w:rsidRPr="0004113A" w:rsidRDefault="006B3282" w:rsidP="006B3282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4113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«задовільно»</w:t>
            </w:r>
          </w:p>
        </w:tc>
        <w:tc>
          <w:tcPr>
            <w:tcW w:w="185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C3F5E5" w14:textId="77777777" w:rsidR="006B3282" w:rsidRPr="0004113A" w:rsidRDefault="006B3282" w:rsidP="006B3282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4113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6B3282" w:rsidRPr="006B3282" w14:paraId="34B53304" w14:textId="77777777" w:rsidTr="0004113A">
        <w:tc>
          <w:tcPr>
            <w:tcW w:w="364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71D60C" w14:textId="77777777" w:rsidR="006B3282" w:rsidRPr="0004113A" w:rsidRDefault="006B3282" w:rsidP="005F7E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4113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Повага до гідності</w:t>
            </w:r>
          </w:p>
          <w:p w14:paraId="0C2D5D4F" w14:textId="77777777" w:rsidR="006B3282" w:rsidRPr="0004113A" w:rsidRDefault="006B3282" w:rsidP="005F7E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4113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отримувача соціальної</w:t>
            </w:r>
          </w:p>
          <w:p w14:paraId="0830D1FB" w14:textId="7C835F51" w:rsidR="006B3282" w:rsidRPr="0004113A" w:rsidRDefault="006B3282" w:rsidP="005F7E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4113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послуги</w:t>
            </w:r>
          </w:p>
        </w:tc>
        <w:tc>
          <w:tcPr>
            <w:tcW w:w="194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F435F1" w14:textId="77777777" w:rsidR="006B3282" w:rsidRPr="0004113A" w:rsidRDefault="006B3282" w:rsidP="006B3282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4113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«добре»</w:t>
            </w:r>
          </w:p>
        </w:tc>
        <w:tc>
          <w:tcPr>
            <w:tcW w:w="191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C63B63" w14:textId="77777777" w:rsidR="006B3282" w:rsidRPr="0004113A" w:rsidRDefault="006B3282" w:rsidP="006B3282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4113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85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E120D5" w14:textId="77777777" w:rsidR="006B3282" w:rsidRPr="0004113A" w:rsidRDefault="006B3282" w:rsidP="006B3282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4113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6B3282" w:rsidRPr="006B3282" w14:paraId="5C90DCC8" w14:textId="77777777" w:rsidTr="0004113A">
        <w:tc>
          <w:tcPr>
            <w:tcW w:w="364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72FDAB" w14:textId="77777777" w:rsidR="006B3282" w:rsidRPr="0004113A" w:rsidRDefault="006B3282" w:rsidP="006B3282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4113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Професійність</w:t>
            </w:r>
          </w:p>
        </w:tc>
        <w:tc>
          <w:tcPr>
            <w:tcW w:w="194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7A521A" w14:textId="77777777" w:rsidR="006B3282" w:rsidRPr="0004113A" w:rsidRDefault="006B3282" w:rsidP="006B3282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4113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91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AC8624" w14:textId="77777777" w:rsidR="006B3282" w:rsidRPr="0004113A" w:rsidRDefault="006B3282" w:rsidP="006B3282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4113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«задовільно»</w:t>
            </w:r>
          </w:p>
        </w:tc>
        <w:tc>
          <w:tcPr>
            <w:tcW w:w="1857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A2CCA0" w14:textId="77777777" w:rsidR="006B3282" w:rsidRPr="0004113A" w:rsidRDefault="006B3282" w:rsidP="006B3282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4113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</w:tbl>
    <w:p w14:paraId="3C72C983" w14:textId="490A0562" w:rsidR="006B3282" w:rsidRDefault="006B3282" w:rsidP="006B328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6B3282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 </w:t>
      </w:r>
    </w:p>
    <w:p w14:paraId="207D6C93" w14:textId="1B50C5CB" w:rsidR="00EC5865" w:rsidRDefault="00EC5865" w:rsidP="006B328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04C0CFEC" w14:textId="77777777" w:rsidR="00DD4BD6" w:rsidRPr="006B3282" w:rsidRDefault="00DD4BD6" w:rsidP="006B328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1AA96CCD" w14:textId="0C3102CC" w:rsidR="006B3282" w:rsidRDefault="006B3282" w:rsidP="00A537F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6B3282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ОЦІНКА ЯКОСТІ СОЦІАЛЬНОЇ ПОСЛУГИ ВЦІЛОМУ</w:t>
      </w:r>
    </w:p>
    <w:tbl>
      <w:tblPr>
        <w:tblStyle w:val="a6"/>
        <w:tblW w:w="9401" w:type="dxa"/>
        <w:tblInd w:w="108" w:type="dxa"/>
        <w:tblLook w:val="04A0" w:firstRow="1" w:lastRow="0" w:firstColumn="1" w:lastColumn="0" w:noHBand="0" w:noVBand="1"/>
      </w:tblPr>
      <w:tblGrid>
        <w:gridCol w:w="2525"/>
        <w:gridCol w:w="6876"/>
      </w:tblGrid>
      <w:tr w:rsidR="00A537F8" w14:paraId="0B0813A3" w14:textId="77777777" w:rsidTr="004A6DDE">
        <w:trPr>
          <w:trHeight w:val="648"/>
        </w:trPr>
        <w:tc>
          <w:tcPr>
            <w:tcW w:w="2525" w:type="dxa"/>
          </w:tcPr>
          <w:p w14:paraId="164BC637" w14:textId="46006AB2" w:rsidR="00A537F8" w:rsidRPr="00A537F8" w:rsidRDefault="00A537F8" w:rsidP="00A537F8">
            <w:p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537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Узагальнений статус</w:t>
            </w:r>
          </w:p>
        </w:tc>
        <w:tc>
          <w:tcPr>
            <w:tcW w:w="6876" w:type="dxa"/>
          </w:tcPr>
          <w:p w14:paraId="7FCA635C" w14:textId="1AF69446" w:rsidR="00A537F8" w:rsidRPr="0081164E" w:rsidRDefault="00A537F8" w:rsidP="0081164E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A537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Рекомендації по роботі із суб’єктом, що надає соціальну послугу</w:t>
            </w:r>
          </w:p>
        </w:tc>
      </w:tr>
      <w:tr w:rsidR="00A537F8" w14:paraId="3AFDC763" w14:textId="77777777" w:rsidTr="007C17E2">
        <w:trPr>
          <w:trHeight w:val="406"/>
        </w:trPr>
        <w:tc>
          <w:tcPr>
            <w:tcW w:w="2525" w:type="dxa"/>
          </w:tcPr>
          <w:p w14:paraId="3A155E36" w14:textId="190A0B34" w:rsidR="00A537F8" w:rsidRPr="00A537F8" w:rsidRDefault="00A537F8" w:rsidP="00A537F8">
            <w:p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537F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«добре»</w:t>
            </w:r>
          </w:p>
        </w:tc>
        <w:tc>
          <w:tcPr>
            <w:tcW w:w="6876" w:type="dxa"/>
          </w:tcPr>
          <w:p w14:paraId="4FE5F8EE" w14:textId="7FAC6C0C" w:rsidR="00A537F8" w:rsidRPr="00A537F8" w:rsidRDefault="00A537F8" w:rsidP="00A537F8">
            <w:p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537F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Продовжувати роботу із суб’єктом</w:t>
            </w:r>
          </w:p>
        </w:tc>
      </w:tr>
      <w:tr w:rsidR="00A537F8" w14:paraId="3793934D" w14:textId="77777777" w:rsidTr="007C17E2">
        <w:trPr>
          <w:trHeight w:val="394"/>
        </w:trPr>
        <w:tc>
          <w:tcPr>
            <w:tcW w:w="2525" w:type="dxa"/>
          </w:tcPr>
          <w:p w14:paraId="0FD23F02" w14:textId="315C89E1" w:rsidR="00A537F8" w:rsidRPr="00A537F8" w:rsidRDefault="00A537F8" w:rsidP="00A537F8">
            <w:p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537F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«задовільно»</w:t>
            </w:r>
          </w:p>
        </w:tc>
        <w:tc>
          <w:tcPr>
            <w:tcW w:w="6876" w:type="dxa"/>
          </w:tcPr>
          <w:p w14:paraId="34D6F21D" w14:textId="14B9FBC0" w:rsidR="00A537F8" w:rsidRPr="00A537F8" w:rsidRDefault="00A537F8" w:rsidP="00A537F8">
            <w:p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537F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  <w:tr w:rsidR="00A537F8" w14:paraId="203F1C92" w14:textId="77777777" w:rsidTr="007C17E2">
        <w:trPr>
          <w:trHeight w:val="394"/>
        </w:trPr>
        <w:tc>
          <w:tcPr>
            <w:tcW w:w="2525" w:type="dxa"/>
          </w:tcPr>
          <w:p w14:paraId="0344497B" w14:textId="46225B39" w:rsidR="00A537F8" w:rsidRPr="00A537F8" w:rsidRDefault="00A537F8" w:rsidP="00A537F8">
            <w:p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537F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«незадовільно»</w:t>
            </w:r>
          </w:p>
        </w:tc>
        <w:tc>
          <w:tcPr>
            <w:tcW w:w="6876" w:type="dxa"/>
          </w:tcPr>
          <w:p w14:paraId="3386BA1B" w14:textId="3DFBC419" w:rsidR="00A537F8" w:rsidRPr="00A537F8" w:rsidRDefault="00A537F8" w:rsidP="00A537F8">
            <w:pPr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537F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</w:tr>
    </w:tbl>
    <w:p w14:paraId="270DF170" w14:textId="25DF8333" w:rsidR="00EC5865" w:rsidRPr="006B3282" w:rsidRDefault="006B3282" w:rsidP="005220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B3282">
        <w:rPr>
          <w:rFonts w:ascii="Times New Roman" w:eastAsia="Times New Roman" w:hAnsi="Times New Roman"/>
          <w:sz w:val="28"/>
          <w:szCs w:val="28"/>
          <w:lang w:eastAsia="uk-UA"/>
        </w:rPr>
        <w:t>Згідно шкали оцінки  якісних та кількісних показників якість послуги консультування відповідає  встановленому рівню – «Добре».</w:t>
      </w:r>
    </w:p>
    <w:p w14:paraId="603B5DB8" w14:textId="48868B67" w:rsidR="005220CA" w:rsidRDefault="005220CA" w:rsidP="00522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ab/>
      </w:r>
      <w:r w:rsidRPr="005220CA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За результатами проведеної 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внутрішньої </w:t>
      </w:r>
      <w:r w:rsidRPr="005220CA">
        <w:rPr>
          <w:rFonts w:ascii="Times New Roman" w:eastAsia="Times New Roman" w:hAnsi="Times New Roman"/>
          <w:bCs/>
          <w:sz w:val="28"/>
          <w:szCs w:val="28"/>
          <w:lang w:eastAsia="uk-UA"/>
        </w:rPr>
        <w:t>оцінки якості надання соціальних послуг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,</w:t>
      </w:r>
      <w:r w:rsidRPr="005220CA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Покровський міський центр соціальних служб для сім</w:t>
      </w:r>
      <w:r w:rsidRPr="005220CA">
        <w:rPr>
          <w:rFonts w:ascii="Times New Roman" w:eastAsia="Times New Roman" w:hAnsi="Times New Roman"/>
          <w:bCs/>
          <w:sz w:val="28"/>
          <w:szCs w:val="28"/>
          <w:lang w:eastAsia="uk-UA"/>
        </w:rPr>
        <w:t>’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ї, дітей та молоді планує заходи, спрямовані на вдосконалення процесу підвищення якості соціальних послуг:</w:t>
      </w:r>
    </w:p>
    <w:p w14:paraId="35A99018" w14:textId="77777777" w:rsidR="005220CA" w:rsidRDefault="005220CA" w:rsidP="005220CA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продовжити своєчасно, якісно та в повному обсязі надавати соціальні послуги;</w:t>
      </w:r>
    </w:p>
    <w:p w14:paraId="51DE02E3" w14:textId="77777777" w:rsidR="005220CA" w:rsidRDefault="005220CA" w:rsidP="005220CA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забезпечити системний перегляд фахівцями із соціальної роботи, закріпленими за отримувачем соціальних послуг, індивідуальних планів надання соціальної послуги в порядку і в строки встановлені чинним законодавством;</w:t>
      </w:r>
    </w:p>
    <w:p w14:paraId="33BAF330" w14:textId="76DE0B8F" w:rsidR="007429E1" w:rsidRPr="007429E1" w:rsidRDefault="007429E1" w:rsidP="007429E1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забезпечити вивчення (за потребою) працівниками центру нормативних та законодавчих документів, а також </w:t>
      </w:r>
      <w:r w:rsidRPr="007429E1">
        <w:rPr>
          <w:rFonts w:ascii="Times New Roman" w:eastAsia="Times New Roman" w:hAnsi="Times New Roman"/>
          <w:sz w:val="28"/>
          <w:szCs w:val="28"/>
          <w:lang w:eastAsia="uk-UA"/>
        </w:rPr>
        <w:t>Державних стандартів надання соціальних послуг</w:t>
      </w:r>
      <w:r w:rsidRPr="007429E1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 w:rsidRPr="007429E1">
        <w:rPr>
          <w:rFonts w:ascii="Times New Roman" w:eastAsia="Times New Roman" w:hAnsi="Times New Roman"/>
          <w:sz w:val="28"/>
          <w:szCs w:val="28"/>
          <w:lang w:eastAsia="uk-UA"/>
        </w:rPr>
        <w:t>зокрема, в частині встановлених строків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на вжиття тих чи інших заходів;</w:t>
      </w:r>
    </w:p>
    <w:p w14:paraId="59E6AE56" w14:textId="1B4BF7F5" w:rsidR="007429E1" w:rsidRDefault="007429E1" w:rsidP="005220CA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забезпечити своєчасне відвідування сімей/осіб та своєчасного виконання запланованих заходів;</w:t>
      </w:r>
    </w:p>
    <w:p w14:paraId="4C742375" w14:textId="6E2FA259" w:rsidR="007429E1" w:rsidRDefault="007429E1" w:rsidP="005220CA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підвищувати професійний рівень фахівців центру за напрямками своєї діяльності.</w:t>
      </w:r>
    </w:p>
    <w:p w14:paraId="42469C2E" w14:textId="5503F1CB" w:rsidR="00685C32" w:rsidRPr="006B3282" w:rsidRDefault="00685C32" w:rsidP="006B3282">
      <w:pPr>
        <w:tabs>
          <w:tab w:val="left" w:pos="3045"/>
        </w:tabs>
        <w:jc w:val="both"/>
        <w:rPr>
          <w:rFonts w:ascii="Times New Roman" w:hAnsi="Times New Roman"/>
          <w:sz w:val="28"/>
          <w:szCs w:val="28"/>
        </w:rPr>
      </w:pPr>
      <w:bookmarkStart w:id="11" w:name="_GoBack"/>
      <w:bookmarkEnd w:id="11"/>
    </w:p>
    <w:p w14:paraId="5139A57D" w14:textId="5AECADCC" w:rsidR="006B3282" w:rsidRDefault="00685C32" w:rsidP="000A735A">
      <w:pPr>
        <w:tabs>
          <w:tab w:val="left" w:pos="304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Директор ПМЦСССДМ                                                                  Г.О. Зарубіна</w:t>
      </w:r>
    </w:p>
    <w:p w14:paraId="60B0FE47" w14:textId="4A4ECA6F" w:rsidR="006B3282" w:rsidRDefault="00685C32" w:rsidP="000A735A">
      <w:pPr>
        <w:tabs>
          <w:tab w:val="left" w:pos="304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14:paraId="086287E6" w14:textId="77777777" w:rsidR="006B3282" w:rsidRDefault="006B3282" w:rsidP="000A735A">
      <w:pPr>
        <w:tabs>
          <w:tab w:val="left" w:pos="3045"/>
        </w:tabs>
        <w:jc w:val="both"/>
        <w:rPr>
          <w:rFonts w:ascii="Times New Roman" w:hAnsi="Times New Roman"/>
          <w:sz w:val="28"/>
          <w:szCs w:val="28"/>
        </w:rPr>
      </w:pPr>
    </w:p>
    <w:p w14:paraId="0597253C" w14:textId="77777777" w:rsidR="006B3282" w:rsidRDefault="006B3282" w:rsidP="000A735A">
      <w:pPr>
        <w:tabs>
          <w:tab w:val="left" w:pos="3045"/>
        </w:tabs>
        <w:jc w:val="both"/>
        <w:rPr>
          <w:rFonts w:ascii="Times New Roman" w:hAnsi="Times New Roman"/>
          <w:sz w:val="28"/>
          <w:szCs w:val="28"/>
        </w:rPr>
      </w:pPr>
    </w:p>
    <w:p w14:paraId="3CEE639D" w14:textId="77777777" w:rsidR="006B3282" w:rsidRDefault="006B3282" w:rsidP="000A735A">
      <w:pPr>
        <w:tabs>
          <w:tab w:val="left" w:pos="3045"/>
        </w:tabs>
        <w:jc w:val="both"/>
        <w:rPr>
          <w:rFonts w:ascii="Times New Roman" w:hAnsi="Times New Roman"/>
          <w:sz w:val="28"/>
          <w:szCs w:val="28"/>
        </w:rPr>
      </w:pPr>
    </w:p>
    <w:p w14:paraId="10F65D67" w14:textId="77777777" w:rsidR="006B3282" w:rsidRDefault="006B3282" w:rsidP="000A735A">
      <w:pPr>
        <w:tabs>
          <w:tab w:val="left" w:pos="3045"/>
        </w:tabs>
        <w:jc w:val="both"/>
        <w:rPr>
          <w:rFonts w:ascii="Times New Roman" w:hAnsi="Times New Roman"/>
          <w:sz w:val="28"/>
          <w:szCs w:val="28"/>
        </w:rPr>
      </w:pPr>
    </w:p>
    <w:p w14:paraId="51DC35C7" w14:textId="77777777" w:rsidR="006B3282" w:rsidRDefault="006B3282" w:rsidP="000A735A">
      <w:pPr>
        <w:tabs>
          <w:tab w:val="left" w:pos="3045"/>
        </w:tabs>
        <w:jc w:val="both"/>
        <w:rPr>
          <w:rFonts w:ascii="Times New Roman" w:hAnsi="Times New Roman"/>
          <w:sz w:val="28"/>
          <w:szCs w:val="28"/>
        </w:rPr>
      </w:pPr>
    </w:p>
    <w:sectPr w:rsidR="006B3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19CF"/>
    <w:multiLevelType w:val="hybridMultilevel"/>
    <w:tmpl w:val="9934FB1E"/>
    <w:lvl w:ilvl="0" w:tplc="1E1A0F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95905"/>
    <w:multiLevelType w:val="multilevel"/>
    <w:tmpl w:val="9D4E4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62"/>
    <w:rsid w:val="00002A4A"/>
    <w:rsid w:val="0002013A"/>
    <w:rsid w:val="0004113A"/>
    <w:rsid w:val="00041D3A"/>
    <w:rsid w:val="00052F71"/>
    <w:rsid w:val="00053873"/>
    <w:rsid w:val="00054F53"/>
    <w:rsid w:val="00071158"/>
    <w:rsid w:val="000771E2"/>
    <w:rsid w:val="00086356"/>
    <w:rsid w:val="00087AE7"/>
    <w:rsid w:val="000A4816"/>
    <w:rsid w:val="000A735A"/>
    <w:rsid w:val="000B6658"/>
    <w:rsid w:val="000B736B"/>
    <w:rsid w:val="000B74F0"/>
    <w:rsid w:val="000C4E9D"/>
    <w:rsid w:val="000D00FD"/>
    <w:rsid w:val="000D3806"/>
    <w:rsid w:val="000D5175"/>
    <w:rsid w:val="000E0CA5"/>
    <w:rsid w:val="000E5595"/>
    <w:rsid w:val="000E56FD"/>
    <w:rsid w:val="000E6E05"/>
    <w:rsid w:val="000F2D8E"/>
    <w:rsid w:val="000F59A3"/>
    <w:rsid w:val="00104C52"/>
    <w:rsid w:val="00106B04"/>
    <w:rsid w:val="00111CD5"/>
    <w:rsid w:val="00111E16"/>
    <w:rsid w:val="0012207A"/>
    <w:rsid w:val="0012721B"/>
    <w:rsid w:val="001455B4"/>
    <w:rsid w:val="00153C7B"/>
    <w:rsid w:val="0016625A"/>
    <w:rsid w:val="00171064"/>
    <w:rsid w:val="001822BA"/>
    <w:rsid w:val="001841EA"/>
    <w:rsid w:val="00186786"/>
    <w:rsid w:val="00193C2E"/>
    <w:rsid w:val="00193D10"/>
    <w:rsid w:val="001963E3"/>
    <w:rsid w:val="00196D4D"/>
    <w:rsid w:val="001A2D71"/>
    <w:rsid w:val="001B47E3"/>
    <w:rsid w:val="001C2F39"/>
    <w:rsid w:val="001E609E"/>
    <w:rsid w:val="00205A25"/>
    <w:rsid w:val="00211466"/>
    <w:rsid w:val="00222886"/>
    <w:rsid w:val="002327C8"/>
    <w:rsid w:val="00233634"/>
    <w:rsid w:val="00234878"/>
    <w:rsid w:val="00241599"/>
    <w:rsid w:val="002419FC"/>
    <w:rsid w:val="00242BB1"/>
    <w:rsid w:val="002449C7"/>
    <w:rsid w:val="00264E58"/>
    <w:rsid w:val="00275100"/>
    <w:rsid w:val="00285B15"/>
    <w:rsid w:val="002C3251"/>
    <w:rsid w:val="002C33A5"/>
    <w:rsid w:val="002C6577"/>
    <w:rsid w:val="002D32C6"/>
    <w:rsid w:val="002E0CB0"/>
    <w:rsid w:val="002E1216"/>
    <w:rsid w:val="002F2EDF"/>
    <w:rsid w:val="002F5DC0"/>
    <w:rsid w:val="00302169"/>
    <w:rsid w:val="003056A0"/>
    <w:rsid w:val="0031079E"/>
    <w:rsid w:val="003235F4"/>
    <w:rsid w:val="003312E7"/>
    <w:rsid w:val="00334435"/>
    <w:rsid w:val="0033562E"/>
    <w:rsid w:val="00337BDB"/>
    <w:rsid w:val="00343617"/>
    <w:rsid w:val="0034462C"/>
    <w:rsid w:val="0036392F"/>
    <w:rsid w:val="0036617F"/>
    <w:rsid w:val="00386148"/>
    <w:rsid w:val="003906C2"/>
    <w:rsid w:val="00392AA7"/>
    <w:rsid w:val="003963A3"/>
    <w:rsid w:val="003C394E"/>
    <w:rsid w:val="003C646A"/>
    <w:rsid w:val="00414EE8"/>
    <w:rsid w:val="0041522E"/>
    <w:rsid w:val="0042164A"/>
    <w:rsid w:val="00424B0A"/>
    <w:rsid w:val="00426891"/>
    <w:rsid w:val="00431C6E"/>
    <w:rsid w:val="0043358C"/>
    <w:rsid w:val="00447A09"/>
    <w:rsid w:val="00467AA1"/>
    <w:rsid w:val="0049692B"/>
    <w:rsid w:val="004A5EC6"/>
    <w:rsid w:val="004A6DDE"/>
    <w:rsid w:val="004B3BBD"/>
    <w:rsid w:val="004B4782"/>
    <w:rsid w:val="004B4F1B"/>
    <w:rsid w:val="004C1DD7"/>
    <w:rsid w:val="004C4476"/>
    <w:rsid w:val="004D2EB7"/>
    <w:rsid w:val="004E59D8"/>
    <w:rsid w:val="004E5D59"/>
    <w:rsid w:val="004F227D"/>
    <w:rsid w:val="00505587"/>
    <w:rsid w:val="00506441"/>
    <w:rsid w:val="00515FFA"/>
    <w:rsid w:val="005220CA"/>
    <w:rsid w:val="00541372"/>
    <w:rsid w:val="00553E72"/>
    <w:rsid w:val="005662E0"/>
    <w:rsid w:val="0058265C"/>
    <w:rsid w:val="005849E3"/>
    <w:rsid w:val="005B04D8"/>
    <w:rsid w:val="005C3C97"/>
    <w:rsid w:val="005C654F"/>
    <w:rsid w:val="005D1D30"/>
    <w:rsid w:val="005F10ED"/>
    <w:rsid w:val="005F7E42"/>
    <w:rsid w:val="00607FE5"/>
    <w:rsid w:val="006136D8"/>
    <w:rsid w:val="006138F6"/>
    <w:rsid w:val="00615E10"/>
    <w:rsid w:val="0061620C"/>
    <w:rsid w:val="00617D19"/>
    <w:rsid w:val="00621173"/>
    <w:rsid w:val="00623AF3"/>
    <w:rsid w:val="00641302"/>
    <w:rsid w:val="00650E38"/>
    <w:rsid w:val="00660021"/>
    <w:rsid w:val="0067311F"/>
    <w:rsid w:val="00673457"/>
    <w:rsid w:val="00680E14"/>
    <w:rsid w:val="00685C32"/>
    <w:rsid w:val="006957B9"/>
    <w:rsid w:val="006A2AD2"/>
    <w:rsid w:val="006B3282"/>
    <w:rsid w:val="006C0A4C"/>
    <w:rsid w:val="006C1962"/>
    <w:rsid w:val="006D1C69"/>
    <w:rsid w:val="006E21DA"/>
    <w:rsid w:val="00711A4B"/>
    <w:rsid w:val="00727298"/>
    <w:rsid w:val="0073146F"/>
    <w:rsid w:val="00734569"/>
    <w:rsid w:val="007429E1"/>
    <w:rsid w:val="00750FDC"/>
    <w:rsid w:val="00761F36"/>
    <w:rsid w:val="00784141"/>
    <w:rsid w:val="007A04ED"/>
    <w:rsid w:val="007A1BB9"/>
    <w:rsid w:val="007A3FF2"/>
    <w:rsid w:val="007A5553"/>
    <w:rsid w:val="007B6B75"/>
    <w:rsid w:val="007C17E2"/>
    <w:rsid w:val="007D3503"/>
    <w:rsid w:val="007D4C98"/>
    <w:rsid w:val="007E3065"/>
    <w:rsid w:val="007E776E"/>
    <w:rsid w:val="007F0ADA"/>
    <w:rsid w:val="007F4418"/>
    <w:rsid w:val="007F7765"/>
    <w:rsid w:val="0081164E"/>
    <w:rsid w:val="008146A7"/>
    <w:rsid w:val="00814731"/>
    <w:rsid w:val="00823A7D"/>
    <w:rsid w:val="00851D5B"/>
    <w:rsid w:val="00852368"/>
    <w:rsid w:val="008651F6"/>
    <w:rsid w:val="00866A4F"/>
    <w:rsid w:val="00867C43"/>
    <w:rsid w:val="00871215"/>
    <w:rsid w:val="008733C2"/>
    <w:rsid w:val="008741D6"/>
    <w:rsid w:val="00876684"/>
    <w:rsid w:val="00880D6B"/>
    <w:rsid w:val="00886099"/>
    <w:rsid w:val="008C3D59"/>
    <w:rsid w:val="008E78B9"/>
    <w:rsid w:val="008F4792"/>
    <w:rsid w:val="00901C75"/>
    <w:rsid w:val="00905A6B"/>
    <w:rsid w:val="00907BBB"/>
    <w:rsid w:val="0091029C"/>
    <w:rsid w:val="00911948"/>
    <w:rsid w:val="009120F4"/>
    <w:rsid w:val="00921BA7"/>
    <w:rsid w:val="00940A31"/>
    <w:rsid w:val="0094657E"/>
    <w:rsid w:val="0096799D"/>
    <w:rsid w:val="009765AF"/>
    <w:rsid w:val="00990634"/>
    <w:rsid w:val="009947BB"/>
    <w:rsid w:val="00995123"/>
    <w:rsid w:val="0099630C"/>
    <w:rsid w:val="009A4257"/>
    <w:rsid w:val="009A5FFD"/>
    <w:rsid w:val="009B7157"/>
    <w:rsid w:val="009C13A3"/>
    <w:rsid w:val="009D5311"/>
    <w:rsid w:val="009E1909"/>
    <w:rsid w:val="00A00F17"/>
    <w:rsid w:val="00A0218A"/>
    <w:rsid w:val="00A10788"/>
    <w:rsid w:val="00A14A64"/>
    <w:rsid w:val="00A1665A"/>
    <w:rsid w:val="00A16AC0"/>
    <w:rsid w:val="00A17097"/>
    <w:rsid w:val="00A24A98"/>
    <w:rsid w:val="00A276C9"/>
    <w:rsid w:val="00A306F7"/>
    <w:rsid w:val="00A32DCD"/>
    <w:rsid w:val="00A4354C"/>
    <w:rsid w:val="00A43FDE"/>
    <w:rsid w:val="00A44D4A"/>
    <w:rsid w:val="00A45097"/>
    <w:rsid w:val="00A5006B"/>
    <w:rsid w:val="00A537F8"/>
    <w:rsid w:val="00A56AD8"/>
    <w:rsid w:val="00A72E79"/>
    <w:rsid w:val="00A73EB1"/>
    <w:rsid w:val="00A861A2"/>
    <w:rsid w:val="00A9135C"/>
    <w:rsid w:val="00A927E5"/>
    <w:rsid w:val="00A96CEA"/>
    <w:rsid w:val="00A97F5A"/>
    <w:rsid w:val="00AA3D7C"/>
    <w:rsid w:val="00AA5176"/>
    <w:rsid w:val="00AB1CCB"/>
    <w:rsid w:val="00AD4C9B"/>
    <w:rsid w:val="00AD5FD2"/>
    <w:rsid w:val="00AE7A9C"/>
    <w:rsid w:val="00AF141A"/>
    <w:rsid w:val="00AF191F"/>
    <w:rsid w:val="00AF2243"/>
    <w:rsid w:val="00AF35C8"/>
    <w:rsid w:val="00B07876"/>
    <w:rsid w:val="00B11639"/>
    <w:rsid w:val="00B1291A"/>
    <w:rsid w:val="00B219CA"/>
    <w:rsid w:val="00B24747"/>
    <w:rsid w:val="00B4146D"/>
    <w:rsid w:val="00B55772"/>
    <w:rsid w:val="00B6571B"/>
    <w:rsid w:val="00B70E83"/>
    <w:rsid w:val="00B96319"/>
    <w:rsid w:val="00BB01A9"/>
    <w:rsid w:val="00BB5CF8"/>
    <w:rsid w:val="00BD2FEF"/>
    <w:rsid w:val="00BE31E5"/>
    <w:rsid w:val="00C06C3B"/>
    <w:rsid w:val="00C20848"/>
    <w:rsid w:val="00C27050"/>
    <w:rsid w:val="00C30EE3"/>
    <w:rsid w:val="00C31AB3"/>
    <w:rsid w:val="00C41043"/>
    <w:rsid w:val="00C4533C"/>
    <w:rsid w:val="00C56B65"/>
    <w:rsid w:val="00C616AF"/>
    <w:rsid w:val="00C62E71"/>
    <w:rsid w:val="00C6458E"/>
    <w:rsid w:val="00C71297"/>
    <w:rsid w:val="00C96629"/>
    <w:rsid w:val="00CC3EAC"/>
    <w:rsid w:val="00CD0094"/>
    <w:rsid w:val="00CD1A70"/>
    <w:rsid w:val="00CE399C"/>
    <w:rsid w:val="00CF056B"/>
    <w:rsid w:val="00CF55D3"/>
    <w:rsid w:val="00D04B0D"/>
    <w:rsid w:val="00D04F22"/>
    <w:rsid w:val="00D06B2B"/>
    <w:rsid w:val="00D10986"/>
    <w:rsid w:val="00D14F63"/>
    <w:rsid w:val="00D15084"/>
    <w:rsid w:val="00D303F7"/>
    <w:rsid w:val="00D310F1"/>
    <w:rsid w:val="00D32044"/>
    <w:rsid w:val="00D54491"/>
    <w:rsid w:val="00D545A3"/>
    <w:rsid w:val="00D55CF9"/>
    <w:rsid w:val="00D57503"/>
    <w:rsid w:val="00D624B3"/>
    <w:rsid w:val="00D8034E"/>
    <w:rsid w:val="00D938C0"/>
    <w:rsid w:val="00DD4BD6"/>
    <w:rsid w:val="00E01295"/>
    <w:rsid w:val="00E03F9D"/>
    <w:rsid w:val="00E1010B"/>
    <w:rsid w:val="00E14D6A"/>
    <w:rsid w:val="00E1519A"/>
    <w:rsid w:val="00E1744D"/>
    <w:rsid w:val="00E22E18"/>
    <w:rsid w:val="00E24D38"/>
    <w:rsid w:val="00E26654"/>
    <w:rsid w:val="00E56462"/>
    <w:rsid w:val="00E64F05"/>
    <w:rsid w:val="00E706B7"/>
    <w:rsid w:val="00E7689C"/>
    <w:rsid w:val="00EA0AA1"/>
    <w:rsid w:val="00EA0DD6"/>
    <w:rsid w:val="00EA1071"/>
    <w:rsid w:val="00EB1201"/>
    <w:rsid w:val="00EB3E9C"/>
    <w:rsid w:val="00EB7BF0"/>
    <w:rsid w:val="00EC1ECD"/>
    <w:rsid w:val="00EC5865"/>
    <w:rsid w:val="00EC6330"/>
    <w:rsid w:val="00EE5F04"/>
    <w:rsid w:val="00F008F5"/>
    <w:rsid w:val="00F03560"/>
    <w:rsid w:val="00F1153D"/>
    <w:rsid w:val="00F14966"/>
    <w:rsid w:val="00F20FF4"/>
    <w:rsid w:val="00F25B68"/>
    <w:rsid w:val="00F25DA0"/>
    <w:rsid w:val="00F407DA"/>
    <w:rsid w:val="00F428BD"/>
    <w:rsid w:val="00F53124"/>
    <w:rsid w:val="00F55B09"/>
    <w:rsid w:val="00F57FEF"/>
    <w:rsid w:val="00F6084C"/>
    <w:rsid w:val="00F62C5D"/>
    <w:rsid w:val="00F66EB3"/>
    <w:rsid w:val="00F7166F"/>
    <w:rsid w:val="00F777BE"/>
    <w:rsid w:val="00F82349"/>
    <w:rsid w:val="00F86CC9"/>
    <w:rsid w:val="00F9053D"/>
    <w:rsid w:val="00F91974"/>
    <w:rsid w:val="00F91F61"/>
    <w:rsid w:val="00F91FBA"/>
    <w:rsid w:val="00F969C7"/>
    <w:rsid w:val="00FC687A"/>
    <w:rsid w:val="00FD5E69"/>
    <w:rsid w:val="00FE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CCCBD"/>
  <w15:docId w15:val="{E289F26D-6F4D-4415-831A-606E9E41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962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1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21">
    <w:name w:val="Основной текст 21"/>
    <w:basedOn w:val="a"/>
    <w:rsid w:val="006C1962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a4">
    <w:name w:val="Без интервала Знак"/>
    <w:link w:val="a3"/>
    <w:uiPriority w:val="1"/>
    <w:locked/>
    <w:rsid w:val="00615E1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Normal (Web)"/>
    <w:basedOn w:val="a"/>
    <w:uiPriority w:val="99"/>
    <w:unhideWhenUsed/>
    <w:rsid w:val="006B3282"/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6B3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220C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42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29E1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0BCB6-58EA-4956-BFCF-03635FBB5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6</Pages>
  <Words>1690</Words>
  <Characters>9636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сц-6</dc:creator>
  <cp:lastModifiedBy>User</cp:lastModifiedBy>
  <cp:revision>480</cp:revision>
  <cp:lastPrinted>2021-06-04T08:35:00Z</cp:lastPrinted>
  <dcterms:created xsi:type="dcterms:W3CDTF">2019-03-05T07:00:00Z</dcterms:created>
  <dcterms:modified xsi:type="dcterms:W3CDTF">2021-06-04T08:36:00Z</dcterms:modified>
</cp:coreProperties>
</file>