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lineRule="auto" w:line="288" w:before="0" w:after="140"/>
        <w:ind w:hanging="0" w:left="0" w:right="0"/>
        <w:jc w:val="left"/>
        <w:rPr>
          <w:rFonts w:ascii="Times New Roman" w:hAnsi="Times New Roman"/>
          <w:b/>
          <w:bCs/>
          <w:i w:val="false"/>
          <w:caps w:val="false"/>
          <w:smallCaps w:val="false"/>
          <w:color w:val="212529"/>
          <w:spacing w:val="0"/>
        </w:rPr>
      </w:pPr>
      <w:r>
        <w:rPr>
          <w:rFonts w:ascii="Times New Roman" w:hAnsi="Times New Roman"/>
          <w:b/>
          <w:bCs/>
          <w:i w:val="false"/>
          <w:caps w:val="false"/>
          <w:smallCaps w:val="false"/>
          <w:color w:val="212529"/>
          <w:spacing w:val="0"/>
        </w:rPr>
        <w:t xml:space="preserve">Якими пільгами користуються особи з інвалідністю внаслідок війни </w:t>
      </w:r>
    </w:p>
    <w:p>
      <w:pPr>
        <w:pStyle w:val="BodyText"/>
        <w:widowControl/>
        <w:bidi w:val="0"/>
        <w:spacing w:before="0" w:after="140"/>
        <w:ind w:hanging="0" w:left="0" w:right="0"/>
        <w:jc w:val="both"/>
        <w:rPr/>
      </w:pPr>
      <w:r>
        <w:rPr>
          <w:rStyle w:val="Strong"/>
          <w:rFonts w:ascii="times new roman;times;serif" w:hAnsi="times new roman;times;serif"/>
          <w:b/>
          <w:i w:val="false"/>
          <w:caps w:val="false"/>
          <w:smallCaps w:val="false"/>
          <w:color w:val="212529"/>
          <w:spacing w:val="0"/>
          <w:sz w:val="28"/>
        </w:rPr>
        <w:t>ПІЛЬГИ ОСОБАМ З ІНВАЛІДНІСТЮ ВНАСЛІДОК ВІЙНИ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 безплатне одержання ліків, лікарських засобів, імунобіологічних препаратів та виробів медичного призначення за рецептами лікарів;</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 позачергове безплатне зубопротезування (за винятком протезування з дорогоцінних металів), безплатне забезпечення іншими протезами і протезно-ортопедичними виробами;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3)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Особи з інвалідністю внаслідок війни з числа осіб, які брали безпосередню участь у бойових діях під час Другої світової війни, безплатно забезпечуються санаторно-курортним лікуванням першочергово із числа позачерговиків.</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Порядок надання путівок, розмір та порядок виплати компенсації визначаються Кабінетом Міністрів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Особи з інвалідністю внаслідок війни забезпечуються путівками відповідно Міністерством оборони України, Міністерством внутрішніх справ України, Службою безпеки України, центральними органами виконавчої влади, що реалізують державну політику у сферах охорони здоров'я, соціального захисту населення, захисту державного кордону, та іншими органами за місцем перебування особи з інвалідністю на обліку або за місцем її роботи.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За бажанням осіб з інвалідністю замість путівки на санаторно-курортне лікування вони можуть один раз на два роки одержувати грошову компенсацію: особи з інвалідністю внаслідок війни I-II груп - у розмірі середньої вартості путівки, особи з інвалідністю внаслідок війни III групи - у розмірі 75 процентів середньої вартості путівки. Грошова компенсація надається незалежно від наявності медичного висновку про необхідність санаторно-курортного лікування або медичних протипоказань; </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4) 100-процентна знижка плати за користування житлом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5) 100-процентна знижка плати за користування комунальними послугами (газом, електроенергією та іншими послугами) та скрапленим балонним газом для побутових потреб в межах середніх норм споживання.</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Площа житла,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Для сімей, що складаються лише з непрацездатних осіб, надається 100-процентна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6) 100-процентна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 Це право поширюється і на особу, яка супроводжує особу з інвалідністю I групи;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8) позачерговий безплатний капітальний ремонт власних жилих будинків і квартир та першочерговий поточний ремонт жилих будинків і квартир у порядку, визначеному Кабінетом Міністрів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9) позачергове обслуговування амбулаторно-поліклінічними закладами, а також позачергова госпіталізація.</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Ліквідація госпіталів для осіб з інвалідністю внаслідок війни здійснюється лише за погодженням з Кабінетом Міністрів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10) позачергове безплатне встановлення квартирних телефонів і позачергове користування всіма послугами зв'язку. Абонементна плата за користування квартирним телефоном встановлюється у розмірі 50 процентів від затверджених тарифів, а для осіб з інвалідністю внаслідок Другої світової війни зі 100-процентною знижкою від затверджених тарифів;</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11)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12) право на щорічне медичне обстеження і диспансеризацію із залученням необхідних спеціалістів;</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12</w:t>
      </w:r>
      <w:r>
        <w:rPr>
          <w:rFonts w:ascii="times new roman;times;serif" w:hAnsi="times new roman;times;serif"/>
          <w:b w:val="false"/>
          <w:i w:val="false"/>
          <w:caps w:val="false"/>
          <w:smallCaps w:val="false"/>
          <w:color w:val="212529"/>
          <w:spacing w:val="0"/>
          <w:sz w:val="18"/>
        </w:rPr>
        <w:t>1</w:t>
      </w:r>
      <w:r>
        <w:rPr>
          <w:rFonts w:ascii="times new roman;times;serif" w:hAnsi="times new roman;times;serif"/>
          <w:b w:val="false"/>
          <w:i w:val="false"/>
          <w:caps w:val="false"/>
          <w:smallCaps w:val="false"/>
          <w:color w:val="212529"/>
          <w:spacing w:val="0"/>
          <w:sz w:val="24"/>
        </w:rPr>
        <w:t>) медична допомога в закладах охорони здоров’я Міністерства оборони України, Служби безпеки України, Служби зовнішньої розвідки України, Державної служби спеціального зв’язку та захисту інформації України, Міністерства внутрішніх справ України, інших центральних органів виконавчої влади, які відповідно до закону здійснюють керівництво військовими формуваннями, без оплати такої допомоги з боку її отримувача;</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13) позачергове працевлаштування за спеціальністю відповідно до підготовки та висновків медико-соціальної експертизи.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Праця осіб з інвалідністю внаслідок війни регулюється відповідними нормами законодавства України про працю і соціальний захист осіб з інвалідністю;</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14)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 установ, організацій;</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15) виплата допомоги по тимчасовій непрацездатності працюючим особам з інвалідністю внаслідок війни в розмірі 100 процентів середньої заробітної плати незалежно від стажу роботи;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16) виплата працюючим особам з інвалідністю допомоги по тимчасовій непрацездатності до 4 місяців підряд або до 5 місяців протягом календарного року, а також допомоги по державному соціальному страхуванню за весь період перебування в санаторії з урахуванням проїзду туди і назад у разі, коли для лікування не вистачає щорічної і додаткової відпусток;</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17) використання чергової щорічної відпустки у зручний для них час, а також одержання додаткової відпустки із збереженням заробітної плати строком 14 календарних днів на рік;</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18) позачергове забезпечення житлом осіб, які потребують поліпшення житлових умов, у тому числі за рахунок жилої площі, що передається міністерствами, іншими центральними органами виконавчої влади, підприємствами та організаціями у розпорядження місцевих рад та державних адміністрацій. Особи, зазначені в цій статті, забезпечуються жилою площею протягом двох років з дня взяття на квартирний облік, а особи з інвалідністю I групи з числа учасників бойових дій на території інших країн - протягом року.</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Органи виконавчої влади, виконавчі комітети місцевих рад зобов'язані подавати допомогу особам з інвалідністю внаслідок війни у будівництві індивідуальних жилих будинків. Земельні ділянки для індивідуального житлового будівництва, садівництва і городництва відводяться зазначеним особам у першочерговому порядку;</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19)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20) першочергове право на вступ до житлово-будівельних (житлових) кооперативів, кооперативів по будівництву та експлуатації колективних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 Гаражі, стоянки для транспортних засобів осіб з інвалідністю внаслідок війни, які мають медичні показання на забезпечення транспортом, як правило, споруджуються поблизу будинків;</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21) особам з інвалідністю I і II груп надається право безплатного проїзду один раз на рік (туди і назад) залізничним, водним, повітряним або міжміським автомобільним транспортом, а особам, які супроводжують осіб з інвалідністю I групи (не більше одного супроводжуючого), - 50-процентна знижка вартості проїзду один раз на рік (туди і назад) зазначеними видами транспорту.</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Особам з інвалідністю III групи надається право безплатного проїзду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проїзду один раз на рік (туди і назад) зазначеними видами транспорту з 50-процентною знижкою вартості проїзду.</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Особам з інвалідністю внаслідок війни та особам, які супроводжують у поїздках осіб з інвалідністю I групи (не більше одного супроводжуючого), надається право користування міжміським транспортом зазначених видів у період з 1 жовтня по 15 травня з 50-процентною знижкою вартості проїзду без обмеження кількості поїздок;</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22) позачергове безоплатне забезпечення автомобілем (за наявності медичних показань для забезпечення автомобілем) на термін експлуатації до десяти років (з наступною заміною на новий), виплата компенсації на бензин (пальне), ремонт, технічне обслуговування автомобілів або на транспортне обслуговування в порядку, встановленому Кабінетом Міністрів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Особи з інвалідністю внаслідок війни з числа осіб, які брали безпосередню участь у бойових діях під час Другої світової війни, за наявності медичних показань для забезпечення автомобілем, безоплатно забезпечуються автомобілем першочергово із числа позачерговиків у порядку, встановленому Кабінетом Міністрів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23) зі сплати податків, зборів, мита та інших платежів до бюджету відповідно до податкового та митного законодавства;</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24) звільнення від орендної плати за нежилі приміщення, що орендуються особами з інвалідністю внаслідок війни під гаражі для спеціальних засобів пересування (автомобілів, мотоколясок, велоколясок тощо) та безплатне надання для цих засобів гаражів-стоянок незалежно від їх форми власності;</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25) позачергове обслуговування закладами та установами, що надають соціальні послуги з догляду. У разі неможливості здійснення такого обслуговування закладами соціального захисту населення відшкодовуються витрати, пов'язані з доглядом за цією особою з інвалідністю, в порядку і розмірах, встановлених чинним законодавством;</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26) позачергове обслуговування підприємствами, установами, організаціями служби побуту, громадського харчування, житлово-комунального господарства, міжміського транспорту;</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27) право на позачергове забезпечення продовольчими товарами поліпшеного асортименту та промисловими товарами підвищеного попиту згідно з переліком та нормами, що встановлюються Радою міністрів Автономної Республіки Крим, обласними, Київською та Севастопольською міськими державними адміністраціями.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Для продажу цих товарів створюються спеціалізовані салони-магазини, секції, відділи та інші види пільгового торговельного обслуговування. Продаж товарів здійснюється за соціально доступними цінами за переліком, визначеним Кабінетом Міністрів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Магазини, секції, відділи та інші торговельні підприємства, що обслуговують осіб з інвалідністю та ветеранів війни, звільняються від сплати податку на добавлену вартість;</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28) право на державну цільову підтримку для здобуття ними та їх дітьми професійної (професійно-технічної), фахової передвищої та вищої освіти у державних та комунальних закладах освіти.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Пільги щодо плати за житло, комунальні послуги та паливо, надаються особам з інвалідністю внаслідок війни та членам їх сімей, які проживають разом з ними, незалежно від виду житла чи форми власності на нього.</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Площа житла, на яку нараховується 100-процентна знижка плати,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особи, які мають право на знижку плати в розмірі, меншому ніж 100 процентів, спочатку обчислюється в максимально можливому розмірі 100-процентна відповідна знижка плати.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Особам з інвалідністю внаслідок війни пенсії або щомісячне довічне грошове утримання чи державна соціальна допомога, що виплачується замість пенсії, підвищуються: особам з інвалідністю I групи - у розмірі 50 процентів прожиткового мінімуму для осіб, які втратили працездатність, II групи - 40 процентів прожиткового мінімуму для осіб, які втратили працездатність, III групи - 30 процентів прожиткового мінімуму для осіб, які втратили працездатність.</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Щороку до Дня Незалежності України особам з інвалідністю внаслідок війни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України.</w:t>
      </w:r>
    </w:p>
    <w:p>
      <w:pPr>
        <w:pStyle w:val="BodyText"/>
        <w:widowControl/>
        <w:pBdr/>
        <w:bidi w:val="0"/>
        <w:spacing w:before="0" w:after="140"/>
        <w:ind w:hanging="0" w:left="0" w:right="0"/>
        <w:jc w:val="both"/>
        <w:rPr>
          <w:rFonts w:ascii="times new roman;times;serif" w:hAnsi="times new roman;times;serif"/>
          <w:b w:val="false"/>
          <w:i w:val="false"/>
          <w:caps w:val="false"/>
          <w:smallCaps w:val="false"/>
          <w:color w:val="212529"/>
          <w:spacing w:val="0"/>
          <w:sz w:val="24"/>
        </w:rPr>
      </w:pPr>
      <w:r>
        <w:rPr>
          <w:rFonts w:ascii="times new roman;times;serif" w:hAnsi="times new roman;times;serif"/>
          <w:b w:val="false"/>
          <w:i w:val="false"/>
          <w:caps w:val="false"/>
          <w:smallCaps w:val="false"/>
          <w:color w:val="212529"/>
          <w:spacing w:val="0"/>
          <w:sz w:val="24"/>
        </w:rPr>
        <w:t>Особам з інвалідністю внаслідок війни II і III груп з числа учасників бойових дій у період Другої світової війни, яким виповнилося 85 років і більше, надаються пільги, передбачені цією статтею для осіб з інвалідністю внаслідок війни I групи.</w:t>
      </w:r>
    </w:p>
    <w:p>
      <w:pPr>
        <w:pStyle w:val="BodyText"/>
        <w:widowControl/>
        <w:pBdr/>
        <w:bidi w:val="0"/>
        <w:spacing w:before="0" w:after="140"/>
        <w:ind w:hanging="0" w:left="0" w:right="0"/>
        <w:jc w:val="both"/>
        <w:rPr/>
      </w:pPr>
      <w:r>
        <w:rPr>
          <w:rFonts w:ascii="times new roman;times;serif" w:hAnsi="times new roman;times;serif"/>
          <w:b w:val="false"/>
          <w:i w:val="false"/>
          <w:caps w:val="false"/>
          <w:smallCaps w:val="false"/>
          <w:color w:val="212529"/>
          <w:spacing w:val="0"/>
          <w:sz w:val="24"/>
        </w:rPr>
        <w:t>Особам, зазначеним у </w:t>
      </w:r>
      <w:r>
        <w:fldChar w:fldCharType="begin"/>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2D5CA6"/>
        </w:rPr>
        <w:instrText xml:space="preserve"> HYPERLINK "https://zakon.rada.gov.ua/laws/show/3551-12" \l "n103"</w:instrTex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2D5CA6"/>
        </w:rPr>
        <w:fldChar w:fldCharType="separate"/>
      </w:r>
      <w:r>
        <w:rPr>
          <w:rStyle w:val="Hyperlink"/>
          <w:rFonts w:ascii="times new roman;times;serif" w:hAnsi="times new roman;times;serif"/>
          <w:b w:val="false"/>
          <w:i w:val="false"/>
          <w:caps w:val="false"/>
          <w:smallCaps w:val="false"/>
          <w:strike w:val="false"/>
          <w:dstrike w:val="false"/>
          <w:color w:val="2D5CA6"/>
          <w:spacing w:val="0"/>
          <w:sz w:val="24"/>
          <w:u w:val="none"/>
          <w:effect w:val="none"/>
          <w:shd w:fill="auto" w:val="clear"/>
        </w:rPr>
        <w:t>пунктах 11-16</w:t>
      </w:r>
      <w:r>
        <w:rPr>
          <w:rStyle w:val="Hyperlink"/>
          <w:smallCaps w:val="false"/>
          <w:caps w:val="false"/>
          <w:dstrike w:val="false"/>
          <w:strike w:val="false"/>
          <w:sz w:val="24"/>
          <w:spacing w:val="0"/>
          <w:i w:val="false"/>
          <w:u w:val="none"/>
          <w:b w:val="false"/>
          <w:effect w:val="none"/>
          <w:shd w:fill="auto" w:val="clear"/>
          <w:rFonts w:ascii="times new roman;times;serif" w:hAnsi="times new roman;times;serif"/>
          <w:color w:val="2D5CA6"/>
        </w:rPr>
        <w:fldChar w:fldCharType="end"/>
      </w:r>
      <w:r>
        <w:rPr>
          <w:rFonts w:ascii="times new roman;times;serif" w:hAnsi="times new roman;times;serif"/>
          <w:b w:val="false"/>
          <w:i w:val="false"/>
          <w:caps w:val="false"/>
          <w:smallCaps w:val="false"/>
          <w:color w:val="212529"/>
          <w:spacing w:val="0"/>
          <w:sz w:val="24"/>
        </w:rPr>
        <w:t> частини другої статті 7 цього Закону, за рахунок коштів державного бюджету призначається і виплачується одноразова грошова допомога у зв’язку з встановленням інвалідності у розмірі, визначеному </w:t>
      </w:r>
      <w:hyperlink r:id="rId2" w:anchor="n328" w:tgtFrame="_blank">
        <w:r>
          <w:rPr>
            <w:rStyle w:val="Hyperlink"/>
            <w:rFonts w:ascii="times new roman;times;serif" w:hAnsi="times new roman;times;serif"/>
            <w:b w:val="false"/>
            <w:i w:val="false"/>
            <w:caps w:val="false"/>
            <w:smallCaps w:val="false"/>
            <w:strike w:val="false"/>
            <w:dstrike w:val="false"/>
            <w:color w:val="2D5CA6"/>
            <w:spacing w:val="0"/>
            <w:sz w:val="24"/>
            <w:u w:val="none"/>
            <w:effect w:val="none"/>
            <w:shd w:fill="auto" w:val="clear"/>
          </w:rPr>
          <w:t>підпунктом "б"</w:t>
        </w:r>
      </w:hyperlink>
      <w:r>
        <w:rPr>
          <w:rFonts w:ascii="times new roman;times;serif" w:hAnsi="times new roman;times;serif"/>
          <w:b w:val="false"/>
          <w:i w:val="false"/>
          <w:caps w:val="false"/>
          <w:smallCaps w:val="false"/>
          <w:color w:val="212529"/>
          <w:spacing w:val="0"/>
          <w:sz w:val="24"/>
        </w:rPr>
        <w:t> пункту 1 статті 16-2 Закону України "Про соціальний і правовий захист військовослужбовців та членів їх сімей". Якщо особа у зв’язку з встановленням інвалідності одночасно має право на отримання одноразової грошової допомоги, передбаченої цією частиною, та одноразової грошової допомоги відповідно до інших законів України, виплата грошових сум здійснюється за однією з підстав за вибором такої особи. </w:t>
      </w:r>
      <w:hyperlink r:id="rId3" w:anchor="n10" w:tgtFrame="_blank">
        <w:r>
          <w:rPr>
            <w:rStyle w:val="Hyperlink"/>
            <w:rFonts w:ascii="times new roman;times;serif" w:hAnsi="times new roman;times;serif"/>
            <w:b w:val="false"/>
            <w:i w:val="false"/>
            <w:caps w:val="false"/>
            <w:smallCaps w:val="false"/>
            <w:strike w:val="false"/>
            <w:dstrike w:val="false"/>
            <w:color w:val="2D5CA6"/>
            <w:spacing w:val="0"/>
            <w:sz w:val="24"/>
            <w:u w:val="none"/>
            <w:effect w:val="none"/>
            <w:shd w:fill="auto" w:val="clear"/>
          </w:rPr>
          <w:t>Порядок призначення і виплати одноразової грошової допомоги</w:t>
        </w:r>
      </w:hyperlink>
      <w:r>
        <w:rPr>
          <w:rFonts w:ascii="times new roman;times;serif" w:hAnsi="times new roman;times;serif"/>
          <w:b w:val="false"/>
          <w:i w:val="false"/>
          <w:caps w:val="false"/>
          <w:smallCaps w:val="false"/>
          <w:color w:val="212529"/>
          <w:spacing w:val="0"/>
          <w:sz w:val="24"/>
        </w:rPr>
        <w:t> визначається Кабінетом Міністрів України.</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altName w:val="times"/>
    <w:charset w:val="cc"/>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uk-U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uk-UA" w:eastAsia="zh-CN" w:bidi="hi-IN"/>
    </w:rPr>
  </w:style>
  <w:style w:type="paragraph" w:styleId="Heading1">
    <w:name w:val="Heading 1"/>
    <w:basedOn w:val="Style13"/>
    <w:next w:val="BodyText"/>
    <w:qFormat/>
    <w:pPr>
      <w:numPr>
        <w:ilvl w:val="0"/>
        <w:numId w:val="0"/>
      </w:numPr>
      <w:spacing w:before="240" w:after="120"/>
      <w:outlineLvl w:val="0"/>
    </w:pPr>
    <w:rPr>
      <w:rFonts w:ascii="Liberation Serif" w:hAnsi="Liberation Serif" w:eastAsia="NSimSun" w:cs="Arial Unicode MS"/>
      <w:b/>
      <w:bCs/>
      <w:sz w:val="48"/>
      <w:szCs w:val="48"/>
    </w:rPr>
  </w:style>
  <w:style w:type="character" w:styleId="Strong">
    <w:name w:val="Strong"/>
    <w:qFormat/>
    <w:rPr>
      <w:b/>
      <w:bCs/>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4">
    <w:name w:val="Покажчик"/>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011-12" TargetMode="External"/><Relationship Id="rId3" Type="http://schemas.openxmlformats.org/officeDocument/2006/relationships/hyperlink" Target="https://zakon.rada.gov.ua/laws/show/336-2016-&#108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LibreOffice/24.2.4.2$Windows_X86_64 LibreOffice_project/51a6219feb6075d9a4c46691dcfe0cd9c4fff3c2</Application>
  <AppVersion>15.0000</AppVersion>
  <Pages>5</Pages>
  <Words>1806</Words>
  <Characters>12107</Characters>
  <CharactersWithSpaces>13864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2025-01-16T12:56:16Z</dcterms:created>
  <dc:creator/>
  <dc:description/>
  <dc:language>uk-UA</dc:language>
  <cp:lastModifiedBy/>
  <dcterms:modified xsi:type="dcterms:W3CDTF">2025-01-16T14:58:04Z</dcterms:modified>
  <cp:revision>2</cp:revision>
  <dc:subject/>
  <dc:title/>
</cp:coreProperties>
</file>