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18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.09.2020року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/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21.0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  по</w:t>
      </w:r>
      <w:r>
        <w:rPr>
          <w:rFonts w:ascii="Calibri" w:hAnsi="Calibri" w:asciiTheme="minorHAnsi" w:hAnsiTheme="minorHAnsi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25.09.20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 xml:space="preserve">21.09.2020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21.09.2020р.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“ЦМЛПМРДО”,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 xml:space="preserve">22.09.2020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  16-00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23.09.2020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 ІІІ-й поверх о  14:00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Про діяльність Центру надання адміністративних послуг виконавчого комітету Покровської міської ради за 2019 рік та 9 місяців 2020 року.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Адміністратор-керівник ЦНАП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(Клочковська І.В.)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Керуючий справами виконкому Відяєва Г.М., 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24.09.2020р.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координаційної ради ВІЛ/СНІД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15-30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25.09.2020р.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Пленарне засідання чергової 61 сесії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Пастух А.І.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34b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2</Pages>
  <Words>274</Words>
  <Characters>1818</Characters>
  <CharactersWithSpaces>2361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2020-09-22T10:19:00Z</dcterms:created>
  <dc:creator>priemnaya_2</dc:creator>
  <dc:description/>
  <dc:language>uk-UA</dc:language>
  <cp:lastModifiedBy/>
  <dcterms:modified xsi:type="dcterms:W3CDTF">2020-09-22T13:39:11Z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