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12.11.2021р.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0" w:leader="none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08.11.2021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Забезпечення особистих та майнових прав і інтересів повнолітніх недієздатних осіб та  осіб, дієздатність яких обмежена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Журавель К.В.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08.11.2021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Трофімчук О.О.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09.11.2021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09.11.2021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Формування відомостей на виплату компенсації «Пакунок малюка»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В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домост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і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на виплату компенсації «Пакунок малюка»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Семенюк І.В.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6"/>
                <w:szCs w:val="26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auto"/>
                <w:kern w:val="2"/>
                <w:sz w:val="26"/>
                <w:szCs w:val="26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(Земницька Н.С.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Проведення публічних консультацій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тему: «Рівні права та інклюзивність»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питування вразливих груп населення, осіб/сімей, які опинилися у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СЖО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, а також фахівців із соціальної роботи, представників громадських об’єднань, які представляють інтереси цих груп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Осіння Н.М.)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по мірі надходження списків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Відпрацювання списків руху одержувачів державних допомог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писк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руху одержувачів державних допомог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Семенюк І.В.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(Сінчук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LibreOffice/7.1.5.2$Linux_X86_64 LibreOffice_project/10$Build-2</Application>
  <AppVersion>15.0000</AppVersion>
  <Pages>5</Pages>
  <Words>878</Words>
  <Characters>5983</Characters>
  <CharactersWithSpaces>6821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2021-11-08T14:59:44Z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