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91"/>
        <w:gridCol w:w="2593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07.02.2022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Шаповала О.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Шаповал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07.02.2022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Отримання електронно-цифрових підписів у ВПР Кваліфікованого надавача електронних довірчих послуг «Казначейство» в Головному управлінні Державної казначейської служби України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Отримання електронно-цифрових підписів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Семенюк І.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08.02.2022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Відяєвої Г.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Чистякова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9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Бондар Л.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10.02.2022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Прийом 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ого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Шульги О.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10.02.2022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shd w:fill="auto" w:val="clear"/>
                <w:lang w:val="uk-UA" w:eastAsia="ru-RU"/>
              </w:rPr>
              <w:t>Формування відомостей на виплату компенсації «Пакунок малюка»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shd w:fill="auto" w:val="clear"/>
                <w:lang w:val="uk-UA" w:eastAsia="ru-RU"/>
              </w:rPr>
              <w:t xml:space="preserve">Щодо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shd w:fill="auto" w:val="clear"/>
                <w:lang w:val="uk-UA" w:eastAsia="ru-RU"/>
              </w:rPr>
              <w:t>компенсації «Пакунок малюка»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  <w:t>Бондар Л.</w:t>
            </w: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487</TotalTime>
  <Application>LibreOffice/7.1.5.2$Linux_X86_64 LibreOffice_project/10$Build-2</Application>
  <AppVersion>15.0000</AppVersion>
  <Pages>5</Pages>
  <Words>806</Words>
  <Characters>5300</Characters>
  <CharactersWithSpaces>6054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2022-02-04T14:18:06Z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