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ПРОТОКОЛ №  21</w:t>
      </w:r>
    </w:p>
    <w:p>
      <w:pPr>
        <w:pStyle w:val="Normal"/>
        <w:bidi w:val="0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25  червня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2024 року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:00 год.  </w:t>
      </w:r>
    </w:p>
    <w:p>
      <w:pPr>
        <w:pStyle w:val="Style24"/>
        <w:bidi w:val="0"/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Кінець засідання: 1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50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 xml:space="preserve">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  <w:t>Головує: 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  <w:t xml:space="preserve">Секретар:     Оксана ТОВКАНЬ,  т.в.о. 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uk-UA" w:bidi="ar-SA"/>
        </w:rPr>
        <w:t>ПРИСУТНІ:  09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57"/>
        <w:gridCol w:w="5928"/>
      </w:tblGrid>
      <w:tr>
        <w:trPr>
          <w:trHeight w:val="28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ШАПОВАЛ Олександр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міський голова, у відпустці</w:t>
            </w:r>
          </w:p>
        </w:tc>
      </w:tr>
      <w:tr>
        <w:trPr>
          <w:trHeight w:val="27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КУРАСОВ Сергій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секретар міської ради</w:t>
            </w:r>
          </w:p>
        </w:tc>
      </w:tr>
      <w:tr>
        <w:trPr>
          <w:trHeight w:val="2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МАГЛИШ Андрій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заступник міського голови</w:t>
            </w:r>
          </w:p>
        </w:tc>
      </w:tr>
      <w:tr>
        <w:trPr>
          <w:trHeight w:val="287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ЛІСНІЧЕНКО Євген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218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28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МІЦЬ Людмила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239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СОЛОДЖУК  Олександр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СТОВБА Володимир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Дніпропетровській області</w:t>
            </w:r>
          </w:p>
        </w:tc>
      </w:tr>
      <w:tr>
        <w:trPr>
          <w:trHeight w:val="267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 xml:space="preserve">ВІДСУТНІ: 04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57"/>
        <w:gridCol w:w="5928"/>
      </w:tblGrid>
      <w:tr>
        <w:trPr>
          <w:trHeight w:val="218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283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ШУЛЬГА Олена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керуючий справами виконкому</w:t>
            </w:r>
          </w:p>
        </w:tc>
      </w:tr>
      <w:tr>
        <w:trPr>
          <w:trHeight w:val="286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50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92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директор з управління персоналом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ВІДЯЄВА Ганна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СОЛЯНКО Віталій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ЧИСТЯКОВ Олександр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 заступник міського голови</w:t>
            </w:r>
          </w:p>
        </w:tc>
      </w:tr>
      <w:tr>
        <w:trPr>
          <w:trHeight w:val="364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СІЗОВА Оксана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  <w:t xml:space="preserve">                                          </w:t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shd w:fill="auto" w:val="clear"/>
          <w:lang w:val="uk-UA"/>
        </w:rPr>
        <w:t>1. Питання у різному. (35 питань)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uk-UA"/>
        </w:rPr>
        <w:tab/>
        <w:t>Доповідачі: заступники міського голови з виконавчої роботи за напрямками.</w:t>
      </w:r>
    </w:p>
    <w:p>
      <w:pPr>
        <w:pStyle w:val="Normal"/>
        <w:bidi w:val="0"/>
        <w:spacing w:lineRule="auto" w:line="24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uk-UA"/>
        </w:rPr>
        <w:t xml:space="preserve">  </w:t>
      </w:r>
    </w:p>
    <w:p>
      <w:pPr>
        <w:pStyle w:val="Style24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Заявники щодо конфлікту інтересів - відсутні.</w:t>
      </w:r>
    </w:p>
    <w:p>
      <w:pPr>
        <w:pStyle w:val="Normal"/>
        <w:spacing w:lineRule="auto" w:line="216" w:before="0" w:after="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uk-UA" w:bidi="ar-SA"/>
        </w:rPr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uk-UA"/>
        </w:rPr>
        <w:t xml:space="preserve">Запропонував доповідачам доповідати до 5 хв.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u w:val="none"/>
          <w:shd w:fill="auto" w:val="clear"/>
          <w:lang w:val="uk-UA"/>
        </w:rPr>
        <w:t>Є заперечення? Заперечення відсутні.</w:t>
      </w:r>
    </w:p>
    <w:p>
      <w:pPr>
        <w:pStyle w:val="Normal"/>
        <w:bidi w:val="0"/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uk-UA" w:eastAsia="ru-RU"/>
        </w:rPr>
        <w:tab/>
        <w:t xml:space="preserve">Запропонував проголосувати за порядок денний. </w:t>
      </w:r>
    </w:p>
    <w:p>
      <w:pPr>
        <w:pStyle w:val="Normal"/>
        <w:bidi w:val="0"/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uk-UA" w:eastAsia="ru-RU"/>
        </w:rPr>
        <w:tab/>
        <w:t>Голосували: «ЗА» - одноголосно</w:t>
      </w:r>
    </w:p>
    <w:p>
      <w:pPr>
        <w:pStyle w:val="31"/>
        <w:bidi w:val="0"/>
        <w:spacing w:lineRule="auto" w:line="240" w:before="0" w:after="0"/>
        <w:jc w:val="lef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 w:bidi="ar-SA"/>
        </w:rPr>
        <w:t>СЛУХАЛИ:“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ХХХ ХХХ ХХХ, хх.хх.ххх </w:t>
      </w:r>
      <w:r>
        <w:rPr>
          <w:rStyle w:val="11"/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 w:bidi="ar-SA"/>
        </w:rPr>
        <w:t>року народження.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№475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2. СЛУХАЛИ: 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ХХХ ХХХ ХХХ, хх.хх.ххх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року народження.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476/06-53-24, додається.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3. СЛУХАЛИ: 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ХХХ ХХХ ХХХ, хх.хх.ххх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№477/06-53-24 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4. СЛУХАЛИ: 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ХХХ ХХХ ХХХ, хх.хх.ххх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478/06-53-24,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5. СЛУХАЛИ: 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ХХХ ХХХ ХХХ, хх.хх.ххх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  <w:r>
        <w:rPr>
          <w:rStyle w:val="12"/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№479/06-53-24 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6. СЛУХАЛИ: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5"/>
          <w:szCs w:val="25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5"/>
          <w:szCs w:val="25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ХХХ ХХХ ХХХ, хх.хх.ххх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5"/>
          <w:szCs w:val="25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5"/>
          <w:szCs w:val="25"/>
          <w:shd w:fill="auto" w:val="clear"/>
          <w:lang w:val="uk-UA" w:eastAsia="ru-RU" w:bidi="ar-SA"/>
        </w:rPr>
        <w:t>року народження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№480/06-53-24 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7. СЛУХАЛИ: 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ХХХ ХХХ ХХХ, хх.хх.ххх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№481/06-53-24 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8. СЛУХАЛИ: 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ХХХ ХХХ ХХХ, хх.хх.ххх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№482/06-53-24 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9. СЛУХАЛИ:  Про затвердження проектно-кошторисної документації за робочим проектом: «Нове будівництво захисної споруди цивільного захисту КЗДО №22 (ясла-садок) Покровської міської ради Дніпропетровської області» за адресою: вул. Джонсона Бориса, 29, м.Покров, Нікопольський район, Дніпропетровська область»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№483/06-53-24 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10. СЛУХАЛИ: 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у новій редакції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№484/06-53-24 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11. СЛУХАЛИ:  </w:t>
      </w: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№485/06-53/24 , додається.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12. СЛУХАЛИ:  Про виведення вихованця з дитячого будинку сімейного типу та створення на його базі прийомної сім’ї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№486/06-53/24 , додається.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13. СЛУХАЛИ:  Про припинення опіки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№487/06-53/24 , додається.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14. СЛУХАЛИ:  Про встановлення опіки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№488/06-53/24 , додається.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15. СЛУХАЛИ:  Про виведення ХХХ ХХХ ХХХ, хх.хх.ххх  року народження з числа вихованців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№489/06-53/24 , додається.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16. СЛУХАЛИ: Про реєстрацію народження дитини, покинутої в пологовому будинку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№490/06-53/24 , додається.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17. СЛУХАЛИ:  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ХХХ ХХХ ХХХ, хх.хх.ххх  року народження,ХХХ ХХХ ХХХ, хх.хх.ххх 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FFFFFF" w:val="clear"/>
          <w:lang w:val="uk-UA" w:eastAsia="ru-RU" w:bidi="ar-SA"/>
        </w:rPr>
        <w:t xml:space="preserve"> року народження відносно малолітньої 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auto" w:val="clear"/>
          <w:lang w:val="uk-UA" w:eastAsia="ru-RU" w:bidi="ar-SA"/>
        </w:rPr>
        <w:t xml:space="preserve">ХХХ ХХХ ХХХ, хх.хх.ххх 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FFFFFF" w:val="clear"/>
          <w:lang w:val="uk-UA" w:eastAsia="ru-RU" w:bidi="ar-SA"/>
        </w:rPr>
        <w:t xml:space="preserve"> року народження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№491/06-53/24 , додається.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18. СЛУХАЛИ:  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ХХХ ХХХ ХХХ, хх.хх.ххх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FFFFFF" w:val="clear"/>
          <w:lang w:val="uk-UA" w:eastAsia="ru-RU" w:bidi="ar-SA"/>
        </w:rPr>
        <w:t xml:space="preserve">року народження відносно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малолітніх ХХХ ХХХ ХХХ, хх.хх.ххх  року народження, ХХХ ХХХ ХХХ, хх.хх.ххх  року народження</w:t>
      </w:r>
      <w:r>
        <w:rPr>
          <w:rStyle w:val="12"/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№492/06-53/24 , додається.</w:t>
      </w:r>
    </w:p>
    <w:p>
      <w:pPr>
        <w:pStyle w:val="Normal"/>
        <w:widowControl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19. СЛУХАЛИ:  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ХХХ ХХХ ХХХ, хх.хх.ххх </w:t>
      </w:r>
      <w:r>
        <w:rPr>
          <w:rStyle w:val="2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FFFFFF" w:val="clear"/>
          <w:lang w:val="uk-UA" w:eastAsia="ru-RU" w:bidi="ar-SA"/>
        </w:rPr>
        <w:t xml:space="preserve">року народження відносно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неповнолітньої ХХХ ХХХ ХХХ, хх.хх.ххх  року народження.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№493/06-53/24 , додається.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20. СЛУХАЛИ: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дострокове припинення договору оренди комунального майна від 25.06.2021 № 28 укладеного з ТЦСО (НСП) ПМР ДО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№494/06-53/24 , додається.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21. СЛУХАЛИ: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дострокове припинення договору оренди комунального майна від 07.12.2021 № 5 укладеного з КНП “ЦПМСД” Покровської міської ради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№495/06-53/24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22. СЛУХАЛИ: 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внесення змін до договору оренди комунального майна від 25.06.2020 № 93/2, укладеного з КП “ЦМЛ ПМР ДО”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№496/06-53/24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23. СЛУХАЛИ: Про затвердження умов оренди частини нежитлової будівлі складу (харчоблок) загальною площею 24,4 кв. м, розташованої по вул. Медична, 19 в м.Покров 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№497/06-53/24 , додається.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24. СЛУХАЛИ: Про погодження продовження терміну користування місцем розміщення тимчасової споруди № 1 в районі магазина «АТБ» на вул. Центральній ФОП Корзуну С.С.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 498/06-53/24 , додається.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25. СЛУХАЛИ: Про погодження продовження терміну користування місцем розміщення тимчасової споруди № 2 в районі магазина «АТБ» на вул. Центральній ФОП Корзуну С.С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 499/06-53/24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26. СЛУХАЛИ: Про погодження продовження терміну користування місцем розміщення тимчасової споруди в районі будинку №13 на вул. Джонсона ФОП Мельник Т.В.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№500/06-53/24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27. СЛУХАЛИ: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Про погодження продовження терміну користування місцем розміщення тимчасової споруди - металевого гаража ХХХ Х.Х.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№501 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28. СЛУХАЛИ: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Про визначення місць для вигулу домашніх тварин на території Покровської міської територіальної громади Дніпропетровської області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 502/06-53/24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29. СЛУХАЛИ: Про затвердження інформаційних та технологічних карток адміністративних послуг відділу архітектури та інспекції ДАБК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 503/06-53/24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30. СЛУХАЛИ: Про переукладання договорів найму житлового приміщення 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 504/06-53/24 , додається.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none"/>
          <w:shd w:fill="FFFF00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 xml:space="preserve">31. СЛУХАЛИ: 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об'єктів 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FFFFFF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FFFFFF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FFFFFF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FFFFFF" w:val="clear"/>
          <w:lang w:val="uk-UA" w:eastAsia="ru-RU" w:bidi="ar-SA"/>
        </w:rPr>
        <w:t>№ 505/06-53/24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32. СЛУХАЛИ: Про план засідань виконавчого комітету Покровської міської ради на ІІ півріччя 2024 року 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FFFFFF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FFFFFF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 506/06-53/24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33. СЛУХАЛИ: Про виділення матеріальних цінностей з міського матеріального резерву Покровської міської територіальної громади для безперебійної роботи третього відділу Нікопольського РТЦК та СП 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FFFFFF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FFFFFF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507/06-53/24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34. СЛУХАЛИ: Про призначення уповноважених осіб з числа працівників виконавчого комітету Покровської міської ради Дніпропетровської області та його структурних підрозділів до складу груп оповіщення військовозобов’язаних в межах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FFFFFF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FFFFFF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508/06-53/24 , додається.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35. СЛУХАЛИ: Про надання матеріальної грошової допомоги 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FFFFFF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FFFFFF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FFFFFF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FFFFFF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509/06-53/24 , додається.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shd w:fill="auto" w:val="clear"/>
          <w:lang w:val="uk-UA" w:eastAsia="ar-SA"/>
        </w:rPr>
        <w:t>Міський голова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ind w:left="0" w:right="-57" w:hanging="0"/>
        <w:jc w:val="left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  <w:t xml:space="preserve">Т.в.о.начальника загального відділу </w:t>
        <w:tab/>
        <w:tab/>
        <w:tab/>
        <w:tab/>
        <w:tab/>
        <w:t>Оксана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25.05.2024 № 21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№21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 xml:space="preserve">від 25.06.2024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246" w:type="dxa"/>
        <w:jc w:val="left"/>
        <w:tblInd w:w="-5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0"/>
        <w:gridCol w:w="1582"/>
        <w:gridCol w:w="1306"/>
        <w:gridCol w:w="5237"/>
        <w:gridCol w:w="1521"/>
      </w:tblGrid>
      <w:tr>
        <w:trPr>
          <w:trHeight w:val="60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1"/>
                <w:sz w:val="24"/>
                <w:szCs w:val="24"/>
                <w:shd w:fill="auto" w:val="clear"/>
                <w:lang w:val="uk-UA" w:eastAsia="zh-CN" w:bidi="hi-IN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 w:bidi="hi-IN"/>
              </w:rPr>
              <w:t>еєстр. номер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 w:bidi="hi-IN"/>
              </w:rPr>
              <w:t>Реєстр. дата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 w:bidi="hi-IN"/>
              </w:rPr>
              <w:t>Короткий зміст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Доповідач</w:t>
            </w:r>
          </w:p>
        </w:tc>
      </w:tr>
      <w:tr>
        <w:trPr>
          <w:trHeight w:val="108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475/06-53-24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Відяєва Г.</w:t>
            </w:r>
          </w:p>
        </w:tc>
      </w:tr>
      <w:tr>
        <w:trPr>
          <w:trHeight w:val="1149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476/06-53-24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066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477/06-53-24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09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478/06-53-24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059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479/06-53-24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144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480/06-53-24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,  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149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481/06-53-24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хххх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37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482/06-53-24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хххх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92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483/06-53-24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затвердження проектно-кошторисної документації за робочим проектом: «Нове будівництво захисної споруди цивільного захисту КЗДО №22    (ясла-садок) Покровської міської ради Дніпропетровської області» за адресою: вул. Джонсона Бориса, 29, м.Покров, Нікопольський район, Дніпропетровська область»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286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484/06-53-24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Щодо погодження фінансового плану на 2024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99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485/06-53-24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затвердження інформаційних та технологічних карток  адміністративних послуг управління праці та соціального</w:t>
              <w:br/>
              <w:t>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87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486/06-53-24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виведення вихованця з дитячого будинку сімейного типу та створення на його базі прийомної сім’ї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47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487/06-53-24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припинення опіки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47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488/06-53-24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встановлення опіки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125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489/06-53-24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виведення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549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490/06-53-24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реєстрацію народження дитини, покинутої в пологовому будинку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218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491/06-53-24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 відносно малолітньої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хххх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року народження.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492/06-53-24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 відносно малолітніх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493/06-53-24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року народження відносно неповнолітньої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 ХХХ 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хххх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року народження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/>
              <w:t>Відяєва Г.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494/06-53-24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дострокове припинення договору оренди комунального майна від 25.06.2021 № 28 укладеного з ТЦСО (НСП) ПМР ДО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495/06-53-24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дострокове припинення договору оренди комунального майна від 07.12.2021 № 5 укладеного з КНП “ЦПМСД” Покровської міської ради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496/06-53-24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внесення змін до договору оренди майна від 25.06.2020 № 93/2, укладеного з КП “ЦМЛ ПМР ДО”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497/06-53-24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затвердження умов оренди частини нежитлової будівлі складу (харчоблок) загальною площею 24,4 кв. м, розташованої по вул.Медична, 19 в м.Покров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498/06-53-24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погодження продовження терміну користування місцем розміщення тимчасової споруди № 1 в районі магазина «АТБ» на вул. Центральній ФОП Корзуну С.С.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499/06-53-24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погодження продовження терміну користування місцем розміщення тимчасової споруди № 2 в районі магазина «АТБ» на вул. Центральній ФОП Корзуну С.С.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500/06-53-24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погодження продовження терміну користування місцем розміщення тимчасової споруди в районі будинку №13 на вул. Джонсона ФОП Мельник Т.В.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501/06-53-24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 погодження продовження терміну користування місцем розміщення тимчасової споруди - металевого гаража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ХХХ.Х.Х.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502/06-53-24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визначення місць для вигулу домашніх тварин на території Покровської міської територіальної громади Дніпропетровської області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503/06-53-24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затвердження інформаційних та технологічних карток адміністративних послуг відділу архітектури та інспекції ДАБК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Чистяков О.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504/06-53-24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переукладання  договорів найму житлового приміщення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Маглиш А.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505/06-53-24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об'єктів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Курасов С.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506/06-53-24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план засідань виконавчого комітету Покровської міської ради на ІІ півріччя 2024 року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Курасов С.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507/06-53-24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виділення матеріальних цінностей з міського матеріального резерву Покровської міської територіальної громади для безперебійної роботи третього відділу Нікопольського РТЦК та СП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Курасов С.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508/06-53-24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призначення уповноважених осіб з числа працівників виконавчого комітету Покровської міської ради Дніпропетровської області та його структурних підрозділів до складу груп оповіщення військовозобов’язаних в межах Покровської міської територіальної громади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Курасов С.</w:t>
            </w:r>
          </w:p>
        </w:tc>
      </w:tr>
      <w:tr>
        <w:trPr>
          <w:trHeight w:val="7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color w:val="000000"/>
                <w:lang w:val="uk-UA" w:eastAsia="zh-CN" w:bidi="hi-IN"/>
              </w:rPr>
            </w:pPr>
            <w:r>
              <w:rPr>
                <w:color w:val="000000"/>
                <w:lang w:val="uk-UA" w:eastAsia="zh-CN" w:bidi="hi-IN"/>
              </w:rPr>
              <w:t>509/06-53-24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right"/>
              <w:rPr>
                <w:color w:val="000000"/>
                <w:lang w:val="uk-UA" w:eastAsia="zh-CN" w:bidi="hi-IN"/>
              </w:rPr>
            </w:pPr>
            <w:r>
              <w:rPr>
                <w:color w:val="000000"/>
                <w:lang w:val="uk-UA" w:eastAsia="zh-CN" w:bidi="hi-IN"/>
              </w:rPr>
              <w:t>25.06.2024</w:t>
            </w:r>
          </w:p>
        </w:tc>
        <w:tc>
          <w:tcPr>
            <w:tcW w:w="5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color w:val="000000"/>
                <w:lang w:val="uk-UA" w:eastAsia="zh-CN" w:bidi="hi-IN"/>
              </w:rPr>
            </w:pPr>
            <w:r>
              <w:rPr>
                <w:color w:val="000000"/>
                <w:lang w:val="uk-UA" w:eastAsia="zh-CN" w:bidi="hi-IN"/>
              </w:rPr>
              <w:t>Про надання матеріальної грошової допомоги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Курасов С.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ind w:left="0" w:right="-57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ind w:left="0" w:right="-57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/>
        <w:ind w:left="0" w:right="-57" w:hanging="0"/>
        <w:jc w:val="left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</w:r>
    </w:p>
    <w:p>
      <w:pPr>
        <w:pStyle w:val="Normal"/>
        <w:bidi w:val="0"/>
        <w:spacing w:lineRule="auto" w:line="240"/>
        <w:ind w:left="0" w:right="-57" w:hanging="0"/>
        <w:jc w:val="left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  <w:t xml:space="preserve">Т.в.о.начальника загального відділу </w:t>
        <w:tab/>
        <w:tab/>
        <w:tab/>
        <w:tab/>
        <w:tab/>
        <w:t>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4253</TotalTime>
  <Application>LibreOffice/7.4.3.2$Windows_X86_64 LibreOffice_project/1048a8393ae2eeec98dff31b5c133c5f1d08b890</Application>
  <AppVersion>15.0000</AppVersion>
  <Pages>11</Pages>
  <Words>2714</Words>
  <Characters>19129</Characters>
  <CharactersWithSpaces>21881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2024-06-27T14:11:10Z</cp:lastPrinted>
  <dcterms:modified xsi:type="dcterms:W3CDTF">2024-06-28T11:38:54Z</dcterms:modified>
  <cp:revision>513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