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5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31.01.2024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5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15:10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Головує: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 Вікторія АГАПОВА - начальника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 xml:space="preserve">ПРИСУТНІ:09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7"/>
        <w:gridCol w:w="5648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>ВІДСУТНІ:04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77"/>
        <w:gridCol w:w="5708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327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70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27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70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327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70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-начальник відділу організації праці та заробітної плати АТ 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327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70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— 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56" w:type="dxa"/>
        <w:jc w:val="left"/>
        <w:tblInd w:w="263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104"/>
        <w:gridCol w:w="5551"/>
      </w:tblGrid>
      <w:tr>
        <w:trPr>
          <w:trHeight w:val="450" w:hRule="atLeast"/>
        </w:trPr>
        <w:tc>
          <w:tcPr>
            <w:tcW w:w="965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219" w:hRule="atLeast"/>
        </w:trPr>
        <w:tc>
          <w:tcPr>
            <w:tcW w:w="410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ВІДЯЄВА Ганна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</w:t>
            </w:r>
          </w:p>
        </w:tc>
      </w:tr>
      <w:tr>
        <w:trPr>
          <w:trHeight w:val="355" w:hRule="atLeast"/>
        </w:trPr>
        <w:tc>
          <w:tcPr>
            <w:tcW w:w="410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ГОРЧАКОВА Тетяна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410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ХОМІК Олексій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410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555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>Доповідач:заступник  міського голови Ганна ВІДЯЄВА.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>1. СЛУХАЛИ: Про скасування рішення виконавчого комітету  від 30.01.2024 №104/06-53-24 “Про дозвіл на розробку проєктно-кошторисної документації на реконструкцію захисної споруди цивільної оборони комунального підприємства “Центральна міська лікарня Покровської міської ради Дніпропетровської області””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№105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2. СЛУХАЛИ:Про дозвіл на розробку проєктно-кошторисної документації на реконструкцію захисної споруди цивільного захисту (цивільної оборони) обліковий №15559 комунального підприємства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“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Центральна міська лікарня Покровської міської  ради Дніпропетровської області” за адресою:                               вул. Медична, 19, м.Покров, Нікопольський район, Дніпропетровська область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№106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31.01.2024 № 5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протоколу № 5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від 31.01.2024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W w:w="935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3"/>
        <w:gridCol w:w="1750"/>
        <w:gridCol w:w="5386"/>
        <w:gridCol w:w="1595"/>
      </w:tblGrid>
      <w:tr>
        <w:trPr>
          <w:trHeight w:val="725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п/п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рішення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1945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105/06-53-24</w:t>
            </w: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0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sz w:val="24"/>
                <w:szCs w:val="24"/>
                <w:shd w:fill="auto" w:val="clear"/>
                <w:lang w:val="uk-UA" w:eastAsia="ru-RU" w:bidi="ar-SA"/>
              </w:rPr>
              <w:t>Про скасування рішення виконавчого комітету  від 30.01.2024 №104/06-53-24 “Про дозвіл на розробку проєктно-кошторисної документації на реконструкцію захисної споруди цивільної оборони комунального підприємства “Центральна міська лікарня Покровської міської ради Дніпропетровської області””</w:t>
            </w:r>
          </w:p>
        </w:tc>
        <w:tc>
          <w:tcPr>
            <w:tcW w:w="1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Відяєва Г.</w:t>
            </w:r>
          </w:p>
        </w:tc>
      </w:tr>
      <w:tr>
        <w:trPr>
          <w:trHeight w:val="1945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lang w:val="uk-UA"/>
              </w:rPr>
              <w:t>106/06-53-24</w:t>
            </w: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0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 xml:space="preserve">Про дозвіл на розробку проєктно-кошторисної документації на реконструкцію захисної споруди цивільного захисту (цивільної оборони) обліковий №15559 комунального підприємства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4"/>
                <w:szCs w:val="24"/>
                <w:shd w:fill="auto" w:val="clear"/>
                <w:lang w:val="en-US" w:eastAsia="ru-RU" w:bidi="ar-SA"/>
              </w:rPr>
              <w:t>“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Центральна міська лікарня Покровської міської  ради Дніпропетровської області” за адресою:                               вул.Медична, 19, м.Покров, Нікопольський район, Дніпропетровська область</w:t>
            </w:r>
          </w:p>
        </w:tc>
        <w:tc>
          <w:tcPr>
            <w:tcW w:w="1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/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3325</TotalTime>
  <Application>LibreOffice/7.4.3.2$Windows_X86_64 LibreOffice_project/1048a8393ae2eeec98dff31b5c133c5f1d08b890</Application>
  <AppVersion>15.0000</AppVersion>
  <Pages>6</Pages>
  <Words>533</Words>
  <Characters>3831</Characters>
  <CharactersWithSpaces>4762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2024-01-09T16:26:31Z</cp:lastPrinted>
  <dcterms:modified xsi:type="dcterms:W3CDTF">2024-01-31T14:13:58Z</dcterms:modified>
  <cp:revision>307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