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>ПРОТОКОЛ №2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en-US" w:eastAsia="zh-CN" w:bidi="ar-SA"/>
        </w:rPr>
        <w:t>7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позачергового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zh-CN" w:bidi="ar-SA"/>
        </w:rPr>
        <w:t>15.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10.2025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16"/>
          <w:szCs w:val="16"/>
          <w:lang w:val="uk-UA" w:eastAsia="zh-CN"/>
        </w:rPr>
      </w:pPr>
      <w:r>
        <w:rPr>
          <w:rFonts w:ascii="Times New Roman" w:hAnsi="Times New Roman"/>
          <w:color w:val="000000"/>
          <w:sz w:val="16"/>
          <w:szCs w:val="16"/>
          <w:lang w:val="uk-UA" w:eastAsia="zh-CN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>Початок засідання 10:00 год.                                          Кінець засідання: 10: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 w:bidi="ar-SA"/>
        </w:rPr>
        <w:t>20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 год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Головує:   Олександр ШАПОВАЛ — міський голова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Секретар:   Оксана САВУСТЬЯНОВА — т.в.о.начальника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12"/>
          <w:szCs w:val="12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12"/>
          <w:szCs w:val="12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en-US" w:bidi="ar-SA"/>
        </w:rPr>
        <w:t>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cs="Times New Roman"/>
          <w:u w:val="single"/>
          <w:lang w:bidi="ar-SA"/>
        </w:rPr>
      </w:pPr>
      <w:r>
        <w:rPr>
          <w:rFonts w:cs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240"/>
        <w:gridCol w:w="5941"/>
      </w:tblGrid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 w:bidi="ar-SA"/>
              </w:rPr>
              <w:t>міський голова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67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22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22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МКП “ЖИТЛКОМСЕРВІС”</w:t>
            </w:r>
          </w:p>
        </w:tc>
      </w:tr>
      <w:tr>
        <w:trPr>
          <w:trHeight w:val="422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en-US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en-US" w:bidi="ar-SA"/>
        </w:rPr>
        <w:t xml:space="preserve">  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240"/>
        <w:gridCol w:w="5941"/>
      </w:tblGrid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734"/>
        <w:gridCol w:w="6060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ЗАПРОШЕНІ:</w:t>
            </w:r>
          </w:p>
        </w:tc>
      </w:tr>
      <w:tr>
        <w:trPr>
          <w:trHeight w:val="430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Питання  у різному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(розглядаємо - 01 питання).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/>
        </w:rPr>
        <w:tab/>
        <w:t>Доповідач: заступник міського голови з виконавчої роботи Віталій СОЛЯНКО.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ab/>
        <w:t xml:space="preserve">Наголосив, що порядок денний сформовано з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питань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hi-IN"/>
        </w:rPr>
        <w:t>Заявники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проголосувати за порядок денний. Голосували: «ЗА» - одноголосно.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СЛУХАЛИ: Про початок опалювального сезону 2025/2026 років в межах Покровської міської територіальної громади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409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Т.в.о. начальника загального відділу                               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САВУСТЬЯНОВА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15.10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.2025 № 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  <w:t>15.10.2025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tbl>
      <w:tblPr>
        <w:tblW w:w="975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2201"/>
        <w:gridCol w:w="6979"/>
      </w:tblGrid>
      <w:tr>
        <w:trPr>
          <w:trHeight w:val="60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Реєстр. номер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Короткий зміст</w:t>
            </w:r>
          </w:p>
        </w:tc>
      </w:tr>
      <w:tr>
        <w:trPr>
          <w:trHeight w:val="543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409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06-53-25</w:t>
            </w:r>
          </w:p>
        </w:tc>
        <w:tc>
          <w:tcPr>
            <w:tcW w:w="6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 початок опалювального сезону 2025/2026 років в межах Покровської міської територіальної громади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Т.в.о. начальника загального відділу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ab/>
        <w:t xml:space="preserve">          Оксана САВУСТЬЯНОВА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6533</TotalTime>
  <Application>LibreOffice/7.4.3.2$Windows_X86_64 LibreOffice_project/1048a8393ae2eeec98dff31b5c133c5f1d08b890</Application>
  <AppVersion>15.0000</AppVersion>
  <Pages>3</Pages>
  <Words>406</Words>
  <Characters>2799</Characters>
  <CharactersWithSpaces>3369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2025-09-04T15:13:40Z</cp:lastPrinted>
  <dcterms:modified xsi:type="dcterms:W3CDTF">2025-10-15T11:34:02Z</dcterms:modified>
  <cp:revision>1042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