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9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30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трав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overflowPunct w:val="true"/>
        <w:bidi w:val="0"/>
        <w:spacing w:lineRule="auto" w:line="240" w:before="0" w:after="0"/>
        <w:ind w:left="0" w:right="0" w:hanging="57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shd w:fill="auto" w:val="clear"/>
          <w:lang w:val="ru-RU" w:eastAsia="zh-CN" w:bidi="ar-SA"/>
        </w:rPr>
        <w:t>1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0</w:t>
      </w:r>
    </w:p>
    <w:p>
      <w:pPr>
        <w:pStyle w:val="Normal"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108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ШАПОВАЛ Олександр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міський голова;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КУРАСОВ Сергій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секретар міської ради; 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ЛІСНІЧЕНКО Євген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староста старостинського округу;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Валентина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директор МКП “Житлкомсервіс”;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ТАРАСЕНКО Геннадій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директор ТОВ “Союз”;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заступник міського голови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- керуючий справами виконкому;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МІЦЬ Людмила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БАРШУНІН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ГАЛІЧАН Тетяна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 w:bidi="ar-SA"/>
              </w:rPr>
              <w:t>- фізична особа — підприємець;</w:t>
            </w:r>
          </w:p>
        </w:tc>
      </w:tr>
    </w:tbl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ВІДСУТНІ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: </w:t>
      </w:r>
      <w:r>
        <w:rPr>
          <w:rFonts w:eastAsia="Noto Serif CJK SC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hi-IN"/>
        </w:rPr>
        <w:t>3</w:t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БОНДАРЕЦЬ Віктори - технічний директор АТ  “Покровський ГЗК”;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zh-CN" w:bidi="ar-SA"/>
        </w:rPr>
        <w:t>СОЛОДЖУК Олександр - фізична особа — підприємець;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ВАРТАНОВ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Георгій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 w:bidi="ar-SA"/>
        </w:rPr>
        <w:t>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13" w:type="dxa"/>
        <w:jc w:val="left"/>
        <w:tblInd w:w="54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474"/>
        <w:gridCol w:w="5338"/>
      </w:tblGrid>
      <w:tr>
        <w:trPr>
          <w:trHeight w:val="567" w:hRule="atLeast"/>
        </w:trPr>
        <w:tc>
          <w:tcPr>
            <w:tcW w:w="9812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юридичного відділу;</w:t>
            </w:r>
          </w:p>
        </w:tc>
      </w:tr>
      <w:tr>
        <w:trPr>
          <w:trHeight w:val="510" w:hRule="atLeast"/>
        </w:trPr>
        <w:tc>
          <w:tcPr>
            <w:tcW w:w="447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38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6</w:t>
      </w:r>
      <w:r>
        <w:rPr>
          <w:rFonts w:cs="Times New Roman" w:ascii="Times New Roman" w:hAnsi="Times New Roman"/>
          <w:sz w:val="28"/>
          <w:szCs w:val="28"/>
          <w:lang w:val="uk-UA"/>
        </w:rPr>
        <w:t>:30 год.</w:t>
      </w:r>
    </w:p>
    <w:p>
      <w:pPr>
        <w:pStyle w:val="Style19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16:5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4"/>
        <w:bidi w:val="0"/>
        <w:spacing w:lineRule="auto" w:line="21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Олександр ШАПОВАЛ -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я, міській голова, виконуючи згідно ст.51, 52 Закону України “Про місцеве самоврядування в Україні” повноваження члена виконавчого комітету заявляю про конфлікт інтересів який виник у мене при розгляді питання порядку денного “Про затвердження висновку органу опіки і піклування про можливість виконувати обов’язки опікуна громадянином Фещенко Валерієм Івановичем над громадянином Фещенко Іваном Григоровичем”, у зв’язку з тим, що дане питання безпосередньо стосується мене, я не беру участь у прийнятті та голосуванні за це рішення. Прошу занести в протокол засідання мою заяву.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реєстрацію народження підкинутої, знайденої дитини (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).</w:t>
      </w:r>
    </w:p>
    <w:p>
      <w:pPr>
        <w:pStyle w:val="Style25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ч.2 ст.135 Сімейного кодексу України, ст.13 Закону України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«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державну реєстрацію актів цивільного стану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»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/>
        </w:rPr>
        <w:t xml:space="preserve">п.69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ru-RU"/>
        </w:rPr>
        <w:t xml:space="preserve">Порядку 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/>
        </w:rPr>
        <w:t>постановою Кабінету Міністрів України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/>
        </w:rPr>
        <w:t xml:space="preserve"> від 24.09.2008 №866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, на підставі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акта органу внутрішніх справ України та закладу охорони здоров'я про підкинуту чи знайдену дитину та її доставку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 від 26.01.2022,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висновку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Департаменту охорони здоров'я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Дніпропетровської обласної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державної адміністрації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за результатами обстеження для встановлення віку дитини, яка залишилась без піклування батьків та потребує соціального захисту від 12.05.2022 №5, 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>подання служби у справах дітей виконавчого комітету Покровської міської ради Дніпропетровської області, 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№133/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2.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надання малолітній статусу дитини-сироти (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).</w:t>
      </w:r>
    </w:p>
    <w:p>
      <w:pPr>
        <w:pStyle w:val="Style25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№134/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3.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надання неповнолітньому статусу дитини-сироти (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).</w:t>
      </w:r>
    </w:p>
    <w:p>
      <w:pPr>
        <w:pStyle w:val="Style25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№135/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Про затвердження висновку органу опіки і піклування про можливість винонувати обов’язки опікуна громадянином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над громадянином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.</w:t>
      </w:r>
    </w:p>
    <w:p>
      <w:pPr>
        <w:pStyle w:val="Style25"/>
        <w:shd w:val="clear" w:fill="FFFFFF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п.1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№34/166/131/88, статтями 56,60 Цивільного кодексу України, рішенням виконавчого комітету Покр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о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вської міської ради Дніпропетровської області “Про затвердження Положення та складу опікунської Ради при виконавчому комітеті Покрівської міської ради у новій редакції” від 25.09.2019 р. № 400, підпунктом 4 пункту “б” частини першої статті 34 Закону України “Про місцеве самоврядування в Україні”, враховуючи протокол засідання опікунської ради при виконавчому комітеті Покровської міської ради Дніпропетровської області від 30.05.2022 р. № 2,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 xml:space="preserve">Голосування щодо прийняття рішення: “ЗА” - 9 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ab/>
        <w:tab/>
        <w:tab/>
        <w:tab/>
        <w:tab/>
        <w:t xml:space="preserve">                 “Не голосував”-1.</w:t>
        <w:tab/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№136/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Олександр ШАПОВАЛ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загального відділу                                           Вікторія АГАПОВА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>виконавчого комітету</w:t>
      </w:r>
    </w:p>
    <w:p>
      <w:pPr>
        <w:pStyle w:val="Normal"/>
        <w:widowControl/>
        <w:tabs>
          <w:tab w:val="clear" w:pos="709"/>
          <w:tab w:val="left" w:pos="3780" w:leader="none"/>
        </w:tabs>
        <w:suppressAutoHyphens w:val="true"/>
        <w:bidi w:val="0"/>
        <w:spacing w:before="0" w:after="0"/>
        <w:ind w:left="6066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>від 30.05.2022 №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uk-UA" w:eastAsia="zh-CN" w:bidi="hi-IN"/>
        </w:rPr>
        <w:t>9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9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lang w:val="uk-UA"/>
        </w:rPr>
        <w:t xml:space="preserve"> від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трав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625" w:type="dxa"/>
        <w:jc w:val="left"/>
        <w:tblInd w:w="43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1587"/>
        <w:gridCol w:w="6149"/>
        <w:gridCol w:w="1325"/>
      </w:tblGrid>
      <w:tr>
        <w:trPr>
          <w:trHeight w:val="39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6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14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реєстрацію народження підкинутої, знайденої дитини (Ткаченко М.С.).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134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14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надання малолітній статусу дитини-сироти </w:t>
            </w:r>
            <w:r>
              <w:rPr>
                <w:rFonts w:ascii="Times New Roman" w:hAnsi="Times New Roman"/>
                <w:lang w:val="uk-UA"/>
              </w:rPr>
              <w:t>(Бугайова Є.Є.).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135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14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надання неповнолітньому статусу дитини-сироти </w:t>
            </w:r>
            <w:r>
              <w:rPr>
                <w:rFonts w:ascii="Times New Roman" w:hAnsi="Times New Roman"/>
                <w:lang w:val="uk-UA"/>
              </w:rPr>
              <w:t>(Таран Д.Ю.).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136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06-53-22</w:t>
            </w:r>
          </w:p>
        </w:tc>
        <w:tc>
          <w:tcPr>
            <w:tcW w:w="6149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затвердження висновку органу опіки і піклування про можливість винонувати обов’язки опікуна громадянином Фещенко Валерієм Івановичем над громадянином Фещенко Іваном Григоровичем.</w:t>
            </w:r>
          </w:p>
        </w:tc>
        <w:tc>
          <w:tcPr>
            <w:tcW w:w="132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widowControl/>
        <w:shd w:val="clear" w:fill="FFFFFF"/>
        <w:suppressAutoHyphens w:val="true"/>
        <w:overflowPunct w:val="true"/>
        <w:bidi w:val="0"/>
        <w:spacing w:lineRule="atLeast" w:line="0" w:before="0" w:after="0"/>
        <w:ind w:left="454" w:right="-57" w:hanging="0"/>
        <w:jc w:val="both"/>
        <w:textAlignment w:val="baseline"/>
        <w:rPr>
          <w:rFonts w:ascii="Times New Roman" w:hAnsi="Times New Roman"/>
        </w:rPr>
      </w:pPr>
      <w:r>
        <w:rPr>
          <w:rFonts w:cs="Times New Roman"/>
          <w:lang w:val="uk-UA"/>
        </w:rPr>
        <w:t xml:space="preserve">Начальник загального відділу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zh-CN" w:bidi="ar-SA"/>
        </w:rPr>
        <w:t>Вікторія АГАПОВА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4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Вміст таблиці"/>
    <w:basedOn w:val="Normal"/>
    <w:qFormat/>
    <w:pPr>
      <w:widowControl w:val="false"/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LibreOffice/7.1.5.2$Linux_X86_64 LibreOffice_project/10$Build-2</Application>
  <AppVersion>15.0000</AppVersion>
  <Pages>5</Pages>
  <Words>870</Words>
  <Characters>5861</Characters>
  <CharactersWithSpaces>7151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2022-01-05T08:59:25Z</cp:lastPrinted>
  <dcterms:modified xsi:type="dcterms:W3CDTF">2022-10-13T13:31:16Z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