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436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затвердження умов оренди нерухомого комунального майна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 розташованого за адресою: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 w:bidi="ar-SA"/>
        </w:rPr>
        <w:t xml:space="preserve"> с. Миронівка, пров. Шкільний, 1а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З метою передачі в оренду нерухомого комунального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майна, розташованого за адресою: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Дніпропетровська обл., Нікопольський р-н,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 w:bidi="ar-SA"/>
        </w:rPr>
        <w:t>с. Миронівка, пров. Шкільний, 1а,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Приміщення нежитлової будівлі клубу загальною площею 11,33 кв.м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розглянувши інформацію надану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ідділом культури, туризму, національностей і релігій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 лис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ті від 05.01.2023 року № 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, ке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руючись Законом України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від 03.10.2019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№157-ІХ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"Про оренду 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ржавного та комунального майна", “Порядком передачі в оренду державного та комунального майна”, затвердженим постановою КМУ від 03.06.2020 року №483, виконавчий комітет міської ради</w:t>
      </w:r>
    </w:p>
    <w:p>
      <w:pPr>
        <w:pStyle w:val="Normal"/>
        <w:keepNext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bidi w:val="0"/>
        <w:spacing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bidi w:val="0"/>
        <w:spacing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риміщення нежитлової будівлі клубу загальною площею 11,33 кв.м, розташованої за адресою: Дніпропетровська обл., Нікопольський р-н, с. Миронівка, пров. Шкільний, 1а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”,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що додаються.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62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ab/>
        <w:tab/>
        <w:tab/>
        <w:tab/>
        <w:tab/>
        <w:tab/>
        <w:t xml:space="preserve">    ЗАТВЕРДЖЕНО</w:t>
      </w:r>
    </w:p>
    <w:p>
      <w:pPr>
        <w:pStyle w:val="Normal"/>
        <w:widowControl w:val="false"/>
        <w:suppressAutoHyphens w:val="true"/>
        <w:bidi w:val="0"/>
        <w:spacing w:lineRule="auto" w:line="240" w:before="62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40" w:before="62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>_______________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2023р.  №____</w:t>
      </w:r>
    </w:p>
    <w:p>
      <w:pPr>
        <w:pStyle w:val="Normal"/>
        <w:tabs>
          <w:tab w:val="clear" w:pos="709"/>
          <w:tab w:val="left" w:pos="5245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5245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риміщення нежитлової будівлі клубу загальною площею 11,33 кв.м, розташованої за адресою: Дніпропетровська обл., Нікопольський р-н, с. Миронівка, пров. Шкільний, 1а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”</w:t>
      </w:r>
    </w:p>
    <w:p>
      <w:pPr>
        <w:pStyle w:val="Normal"/>
        <w:tabs>
          <w:tab w:val="clear" w:pos="709"/>
          <w:tab w:val="left" w:pos="5245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 xml:space="preserve">1. Умови, на яких здійснюється оренда об’єкта оренди, включеного до Переліку першого типу,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риміщення нежитлової будівлі клубу загальною площею 11,33 кв.м, розташованої за адресою: Дніпропетровська обл., Нікопольський р-н, с. Миронівка, пров. Шкільний, 1а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”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(далі — Об'єкт оренди):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1.1. Розмір стартової орендної плати для: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– 1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1,33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із зниженням стартової ціни —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eastAsia="uk-UA"/>
        </w:rPr>
        <w:t>5,67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за методом покрокового зниження стартової орендної плати та подальшого подання цінових пропозицій –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eastAsia="uk-UA"/>
        </w:rPr>
        <w:t xml:space="preserve"> 5,67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1.2. Строк оренди - 5 років.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1.3. Розмір гарантійного внеску для участі в електронному аукціоні становить 5178,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грн.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 xml:space="preserve">1.4. Розмір реєстраційного внеску: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>670,00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1.5. 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1.6. 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1.7. Період прийому заяв на участь в електронному аукціоні та період між аукціонами – 7 календарних днів з дати оприлюднення в ЕТС оголошення про передачу майна в оренду.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1.8. 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ab/>
        <w:t>1.9. Цільове призначення Об'єкта оренди: о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>б’єкт оренди може бути використаний за будь-яким цільовим призначенням на розсуд орендаря, за винятком таких цільових призначень:</w:t>
      </w:r>
    </w:p>
    <w:p>
      <w:pPr>
        <w:pStyle w:val="Normal"/>
        <w:widowControl w:val="false"/>
        <w:bidi w:val="0"/>
        <w:spacing w:lineRule="auto" w:line="240" w:before="57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>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 w:val="false"/>
        <w:bidi w:val="0"/>
        <w:spacing w:lineRule="auto" w:line="240" w:before="57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>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групи;</w:t>
      </w:r>
    </w:p>
    <w:p>
      <w:pPr>
        <w:pStyle w:val="Normal"/>
        <w:widowControl w:val="false"/>
        <w:bidi w:val="0"/>
        <w:spacing w:lineRule="auto" w:line="240" w:before="57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 w:val="false"/>
        <w:bidi w:val="0"/>
        <w:spacing w:lineRule="auto" w:line="240" w:before="57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bidi w:val="0"/>
        <w:spacing w:lineRule="auto" w:line="240" w:before="57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>- ритуальні послуги. Громадські вбиральні. Збір і сортування вторинної сировини.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 w:val="false"/>
        <w:bidi w:val="0"/>
        <w:spacing w:lineRule="auto" w:line="240" w:before="0" w:after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Т.в.о.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начальника відділу економіки</w:t>
        <w:tab/>
        <w:t xml:space="preserve">          </w:t>
        <w:tab/>
        <w:tab/>
        <w:t xml:space="preserve">             </w:t>
        <w:tab/>
        <w:t xml:space="preserve">  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Яна СЕЛЕЗНЬОВА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rPr>
      <w:color w:val="0000FF"/>
      <w:u w:val="single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LibreOffice/7.3.0.3$Windows_X86_64 LibreOffice_project/0f246aa12d0eee4a0f7adcefbf7c878fc2238db3</Application>
  <AppVersion>15.0000</AppVersion>
  <Pages>3</Pages>
  <Words>560</Words>
  <Characters>3855</Characters>
  <CharactersWithSpaces>4656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2022-11-03T10:04:07Z</dcterms:created>
  <dc:creator/>
  <dc:description/>
  <dc:language>uk-UA</dc:language>
  <cp:lastModifiedBy/>
  <dcterms:modified xsi:type="dcterms:W3CDTF">2023-01-12T09:02:39Z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