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before="0" w:after="0"/>
        <w:ind w:left="0" w:right="0" w:hanging="0"/>
        <w:jc w:val="left"/>
        <w:rPr>
          <w:rFonts w:ascii="Times New Roman" w:hAnsi="Times New Roman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затвердження умов оренди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окремого індивідуально визначеного майна, розташованого за адресою вул. Малки Івана, 1а в м. Покров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, включеного до Переліку першого типу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З метою передачі в оренду об’єкта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окремого індивідуально визначеного майна, розташованого за адресою вул. Малки Івана, 1а в м. Покров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Дніпропетровської області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пелет”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включеного до Переліку першого типу, розглянувши інформацію надану управлінням освіти Покровської міської ради у листі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№ 1141/03-2 від 03.11.2022 року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, керуючись Законом України "Про оренду де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виконавчий комітет Покровської міської ради</w:t>
      </w:r>
    </w:p>
    <w:p>
      <w:pPr>
        <w:pStyle w:val="Normal"/>
        <w:keepNext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bidi w:val="0"/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bidi w:val="0"/>
        <w:spacing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Затвердити умови оренди об'єкта,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розташовані за адресою                    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вул. Малки Івана, 1а в м. Покров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Дніпропетровської області”, передача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якого здійснюється на аукціоні, що додаються.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val="en-US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Надія Мартиненко, 42244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ab/>
        <w:tab/>
        <w:tab/>
        <w:tab/>
        <w:tab/>
        <w:tab/>
        <w:t xml:space="preserve">     Додаток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до р</w:t>
      </w:r>
      <w:r>
        <w:rPr>
          <w:rFonts w:cs="Times New Roman" w:ascii="Times New Roman" w:hAnsi="Times New Roman"/>
          <w:sz w:val="28"/>
          <w:szCs w:val="28"/>
        </w:rPr>
        <w:t>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_______________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zh-CN" w:bidi="ar-SA"/>
        </w:rPr>
        <w:t xml:space="preserve"> 2022р.  №____</w:t>
      </w:r>
    </w:p>
    <w:p>
      <w:pPr>
        <w:pStyle w:val="Normal"/>
        <w:tabs>
          <w:tab w:val="clear" w:pos="709"/>
          <w:tab w:val="left" w:pos="524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, розташовані за адресою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вул. Малки Івана, 1а в м. Покров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shd w:fill="auto" w:val="clear"/>
          <w:lang w:eastAsia="ru-RU"/>
        </w:rPr>
        <w:t xml:space="preserve"> Дніпропетровської області”</w:t>
      </w:r>
    </w:p>
    <w:p>
      <w:pPr>
        <w:pStyle w:val="Normal"/>
        <w:tabs>
          <w:tab w:val="clear" w:pos="709"/>
          <w:tab w:val="left" w:pos="5245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FFFF00" w:val="clear"/>
        </w:rPr>
      </w:pPr>
      <w:r>
        <w:rPr>
          <w:rFonts w:cs="Times New Roman" w:ascii="Times New Roman" w:hAnsi="Times New Roman"/>
          <w:sz w:val="28"/>
          <w:szCs w:val="28"/>
          <w:shd w:fill="FFFF00" w:val="clear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 xml:space="preserve">1. Умови, на яких здійснюється оренда об’єкта оренди, включеного до Переліку першого типу, а саме: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“Установка котельна модульна з обладнанням та модульна будівля для складу пелет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, розташовані за адресою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вул. Малки Івана, 1а в м. Покров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Дніпропетровської області”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(далі — Об'єкт оренди):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1.1. Розмір стартової орендної плати для: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 w:ascii="Times New Roman" w:hAnsi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zh-CN" w:bidi="ar-SA"/>
        </w:rPr>
        <w:t xml:space="preserve"> 875,00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із зниженням стартової ціни -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4 937,50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 xml:space="preserve"> 4 937,50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1.2. Строк оренди - 5 років.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1.3. Розмір гарантійного внеску для участі в електронному аукціоні становить 19 750,00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грн.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 xml:space="preserve">1.4. Розмір реєстраційного внеску: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1.5. Кількість кроків аукціону за методом покрокового зниження стартової орендної плати та подальшого подання цінових пропозицій становить 70 кроків.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bidi w:val="0"/>
        <w:spacing w:lineRule="auto" w:line="240" w:before="57" w:after="5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1.7. 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ab/>
        <w:t>1.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. Цільове призначення Об'єкта оренди: виробництво, транспортування та постачання теплової енергії закладу освіти.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№483, оскільки Об’єкт оренди відноситься до майна закладу освіти.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143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Начальник відділу економіки</w:t>
        <w:tab/>
        <w:t xml:space="preserve">          </w:t>
        <w:tab/>
        <w:tab/>
        <w:t xml:space="preserve">                                Т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етяна СІДАШОВА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rPr>
      <w:color w:val="0000FF"/>
      <w:u w:val="single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LibreOffice/7.3.4.2$Linux_X86_64 LibreOffice_project/30$Build-2</Application>
  <AppVersion>15.0000</AppVersion>
  <Pages>2</Pages>
  <Words>489</Words>
  <Characters>3187</Characters>
  <CharactersWithSpaces>3959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2022-11-03T10:04:07Z</dcterms:created>
  <dc:creator/>
  <dc:description/>
  <dc:language>uk-UA</dc:language>
  <cp:lastModifiedBy/>
  <dcterms:modified xsi:type="dcterms:W3CDTF">2022-11-03T14:18:08Z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