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5E9" w:rsidRPr="003125E9" w:rsidRDefault="003125E9" w:rsidP="003125E9">
      <w:pPr>
        <w:tabs>
          <w:tab w:val="left" w:pos="3780"/>
          <w:tab w:val="left" w:pos="4500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3125E9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ПОКРОВСЬКА МІСЬКА РАДА</w:t>
      </w:r>
    </w:p>
    <w:p w:rsidR="003125E9" w:rsidRPr="003125E9" w:rsidRDefault="003125E9" w:rsidP="003125E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125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         </w:t>
      </w:r>
      <w:r w:rsidRPr="003125E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ДНІПРОПЕТРОВСЬКОЇ ОБЛАСТІ</w:t>
      </w:r>
    </w:p>
    <w:p w:rsidR="003125E9" w:rsidRPr="003125E9" w:rsidRDefault="003125E9" w:rsidP="003125E9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</w:p>
    <w:p w:rsidR="003125E9" w:rsidRPr="003125E9" w:rsidRDefault="00853F5C" w:rsidP="003125E9">
      <w:pPr>
        <w:keepNext/>
        <w:suppressAutoHyphens/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zh-CN"/>
        </w:rPr>
        <w:t xml:space="preserve">ПРОЄКТ  </w:t>
      </w:r>
      <w:r w:rsidR="003125E9" w:rsidRPr="003125E9">
        <w:rPr>
          <w:rFonts w:ascii="Times New Roman" w:eastAsia="Times New Roman" w:hAnsi="Times New Roman" w:cs="Times New Roman"/>
          <w:b/>
          <w:bCs/>
          <w:sz w:val="28"/>
          <w:szCs w:val="30"/>
          <w:lang w:eastAsia="zh-CN"/>
        </w:rPr>
        <w:t>РІШЕННЯ</w:t>
      </w:r>
    </w:p>
    <w:p w:rsidR="003125E9" w:rsidRPr="003125E9" w:rsidRDefault="003D2FA8" w:rsidP="003125E9">
      <w:pPr>
        <w:suppressAutoHyphens/>
        <w:spacing w:before="114" w:after="114" w:line="240" w:lineRule="auto"/>
        <w:rPr>
          <w:rFonts w:ascii="Times New Roman" w:eastAsia="Times New Roman" w:hAnsi="Times New Roman" w:cs="Times New Roman"/>
          <w:color w:val="00000A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___________</w:t>
      </w:r>
      <w:r w:rsidR="008C6F79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__</w:t>
      </w:r>
      <w:r w:rsidR="003125E9" w:rsidRPr="003125E9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  <w:t xml:space="preserve">                          </w:t>
      </w:r>
      <w:r w:rsidR="003125E9" w:rsidRPr="003125E9"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  <w:t xml:space="preserve">          </w:t>
      </w:r>
      <w:proofErr w:type="spellStart"/>
      <w:r w:rsidR="003125E9" w:rsidRPr="003125E9"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  <w:t>м.Покров</w:t>
      </w:r>
      <w:proofErr w:type="spellEnd"/>
      <w:r w:rsidR="003125E9" w:rsidRPr="003125E9"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  <w:t xml:space="preserve"> </w:t>
      </w:r>
      <w:r w:rsidR="003125E9" w:rsidRPr="003125E9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                   </w:t>
      </w:r>
      <w:r w:rsidR="003125E9" w:rsidRPr="003125E9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="003125E9" w:rsidRPr="003125E9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_</w:t>
      </w:r>
      <w:r w:rsidR="008C6F79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_______</w:t>
      </w:r>
    </w:p>
    <w:p w:rsidR="003125E9" w:rsidRPr="003125E9" w:rsidRDefault="003125E9" w:rsidP="003125E9">
      <w:pPr>
        <w:suppressAutoHyphens/>
        <w:spacing w:after="0" w:line="240" w:lineRule="auto"/>
        <w:rPr>
          <w:rFonts w:ascii="Liberation Serif" w:eastAsia="SimSun" w:hAnsi="Liberation Serif" w:cs="Mangal"/>
          <w:b/>
          <w:kern w:val="2"/>
          <w:sz w:val="12"/>
          <w:szCs w:val="12"/>
          <w:lang w:val="uk-UA" w:eastAsia="zh-CN" w:bidi="hi-IN"/>
        </w:rPr>
      </w:pPr>
    </w:p>
    <w:p w:rsidR="00CF2446" w:rsidRDefault="003125E9" w:rsidP="00853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125E9"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        </w:t>
      </w:r>
    </w:p>
    <w:p w:rsidR="00CF2446" w:rsidRDefault="00CF2446" w:rsidP="00CF2446">
      <w:pPr>
        <w:pStyle w:val="LO-normal"/>
        <w:ind w:right="45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1853" w:rsidRPr="00B61853" w:rsidRDefault="00B61853" w:rsidP="008C6F79">
      <w:pPr>
        <w:widowControl w:val="0"/>
        <w:shd w:val="clear" w:color="auto" w:fill="FFFFFF"/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B61853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Про</w:t>
      </w:r>
      <w:r w:rsidR="00AB18BA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затвердження</w:t>
      </w:r>
      <w:r w:rsidRPr="00B61853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  <w:r w:rsidR="00AB18BA" w:rsidRPr="00AB18BA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Порядк</w:t>
      </w:r>
      <w:r w:rsidR="00AB18BA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у</w:t>
      </w:r>
      <w:r w:rsidR="00AB18BA" w:rsidRPr="00AB18BA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здійснення контролю за </w:t>
      </w:r>
      <w:r w:rsidR="00A843DD" w:rsidRPr="00A843D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додержанням вимог Закону України </w:t>
      </w:r>
      <w:r w:rsidR="00A843D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«</w:t>
      </w:r>
      <w:r w:rsidR="00A843DD" w:rsidRPr="00A843D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Про соціальні послуги</w:t>
      </w:r>
      <w:r w:rsidR="00A843D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» </w:t>
      </w:r>
      <w:r w:rsidR="008C6F7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у</w:t>
      </w:r>
      <w:r w:rsidR="00A843D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Покровській міській територіальній громаді</w:t>
      </w:r>
      <w:r w:rsidR="008C6F7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Дніпропетровської області</w:t>
      </w:r>
    </w:p>
    <w:p w:rsidR="00B61853" w:rsidRPr="00B61853" w:rsidRDefault="00B61853" w:rsidP="00595095">
      <w:pPr>
        <w:widowControl w:val="0"/>
        <w:shd w:val="clear" w:color="auto" w:fill="FFFFFF"/>
        <w:tabs>
          <w:tab w:val="left" w:pos="9639"/>
        </w:tabs>
        <w:suppressAutoHyphens/>
        <w:autoSpaceDE w:val="0"/>
        <w:autoSpaceDN w:val="0"/>
        <w:spacing w:after="0" w:line="240" w:lineRule="auto"/>
        <w:ind w:right="2" w:firstLine="851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B61853" w:rsidRPr="00B61853" w:rsidRDefault="00B61853" w:rsidP="00595095">
      <w:pPr>
        <w:widowControl w:val="0"/>
        <w:shd w:val="clear" w:color="auto" w:fill="FFFFFF"/>
        <w:tabs>
          <w:tab w:val="left" w:pos="9639"/>
        </w:tabs>
        <w:suppressAutoHyphens/>
        <w:autoSpaceDE w:val="0"/>
        <w:autoSpaceDN w:val="0"/>
        <w:spacing w:after="0" w:line="240" w:lineRule="auto"/>
        <w:ind w:right="2" w:firstLine="851"/>
        <w:jc w:val="center"/>
        <w:rPr>
          <w:rFonts w:ascii="Times New Roman" w:eastAsia="Times New Roman" w:hAnsi="Times New Roman" w:cs="Times New Roman"/>
          <w:b/>
          <w:kern w:val="2"/>
          <w:sz w:val="12"/>
          <w:szCs w:val="28"/>
          <w:lang w:val="uk-UA" w:eastAsia="ru-RU"/>
        </w:rPr>
      </w:pPr>
    </w:p>
    <w:p w:rsidR="00B61853" w:rsidRPr="00DA540E" w:rsidRDefault="00CF2446" w:rsidP="00DA540E">
      <w:pPr>
        <w:shd w:val="clear" w:color="auto" w:fill="FFFFFF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</w:pPr>
      <w:r w:rsidRPr="00CF2446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 xml:space="preserve">Керуючись законами України «Про місцеве самоврядування в Україні», «Про </w:t>
      </w:r>
      <w:r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>соціальні</w:t>
      </w:r>
      <w:r w:rsidRPr="00CF2446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 xml:space="preserve"> послуги»</w:t>
      </w:r>
      <w:r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>, п</w:t>
      </w:r>
      <w:r w:rsidR="00B61853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>останов</w:t>
      </w:r>
      <w:r w:rsidR="00A843DD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>ою</w:t>
      </w:r>
      <w:r w:rsidR="00B61853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 xml:space="preserve"> К</w:t>
      </w:r>
      <w:r w:rsidR="00DA540E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 xml:space="preserve">абінету Міністрів України від 01.06.2020 №427 «Деякі питання здійснення контролю за додержанням вимог Закону України «Про соціальні послуги» (зі змінами), </w:t>
      </w:r>
      <w:r w:rsidR="005950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 метою здійснення</w:t>
      </w:r>
      <w:r w:rsidR="00EB1C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якісного та системного</w:t>
      </w:r>
      <w:r w:rsidR="005950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контролю за </w:t>
      </w:r>
      <w:r w:rsidR="00A843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додержанням вимог </w:t>
      </w:r>
      <w:r w:rsidR="004B6F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Закону України «Про соціальні послуги» на рівні територіальної громади</w:t>
      </w:r>
      <w:r w:rsidR="005950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3D2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міська</w:t>
      </w:r>
      <w:r w:rsidR="005950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61853" w:rsidRPr="00B61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рад</w:t>
      </w:r>
      <w:r w:rsidR="003D2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</w:t>
      </w:r>
    </w:p>
    <w:p w:rsidR="00B61853" w:rsidRPr="00B61853" w:rsidRDefault="00B61853" w:rsidP="0059509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val="uk-UA" w:eastAsia="ru-RU"/>
        </w:rPr>
      </w:pPr>
    </w:p>
    <w:p w:rsidR="00B61853" w:rsidRDefault="00B61853" w:rsidP="0059509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val="uk-UA" w:eastAsia="ru-RU"/>
        </w:rPr>
      </w:pPr>
      <w:r w:rsidRPr="00B61853"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val="uk-UA" w:eastAsia="ru-RU"/>
        </w:rPr>
        <w:t>ВИРІШИ</w:t>
      </w:r>
      <w:r w:rsidR="003D2FA8"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val="uk-UA" w:eastAsia="ru-RU"/>
        </w:rPr>
        <w:t>ЛА</w:t>
      </w:r>
      <w:r w:rsidRPr="00B61853"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val="uk-UA" w:eastAsia="ru-RU"/>
        </w:rPr>
        <w:t>:</w:t>
      </w:r>
    </w:p>
    <w:p w:rsidR="00187157" w:rsidRPr="00B61853" w:rsidRDefault="00187157" w:rsidP="0059509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val="uk-UA" w:eastAsia="ru-RU"/>
        </w:rPr>
      </w:pPr>
    </w:p>
    <w:p w:rsidR="00187157" w:rsidRPr="00EB1CDA" w:rsidRDefault="00187157" w:rsidP="00EB1CDA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B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Затвердити Порядок </w:t>
      </w:r>
      <w:r w:rsidR="00EB1CDA" w:rsidRPr="00EB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здійснення контролю за додержанням вимог Закону України «Про соціальні послуги» </w:t>
      </w:r>
      <w:r w:rsidR="008C6F79" w:rsidRPr="008C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Покровській міській територіальній громаді Дніпропетровської області</w:t>
      </w:r>
      <w:r w:rsidR="008C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(далі-Порядок), що </w:t>
      </w:r>
      <w:r w:rsidR="00595095" w:rsidRPr="00EB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додається</w:t>
      </w:r>
      <w:r w:rsidR="008C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B61853" w:rsidRPr="00EB1CDA" w:rsidRDefault="003D2FA8" w:rsidP="003D2FA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2F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Координацію роботи щодо виконання даного рішення покласти на </w:t>
      </w:r>
      <w:r w:rsidR="008C6F7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</w:t>
      </w:r>
      <w:r w:rsidRPr="003D2F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правління праці та соціального захисту населення виконавчого комітету Покровської міської ради Дніпропетровської області (Тетяна ІГНАТЮК); контроль -  на заступник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а</w:t>
      </w:r>
      <w:r w:rsidRPr="003D2F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міського голови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Ганну ВІДЯЄВУ та </w:t>
      </w:r>
      <w:r w:rsidRPr="003D2F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постійн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</w:t>
      </w:r>
      <w:r w:rsidRPr="003D2F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комісі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ю</w:t>
      </w:r>
      <w:r w:rsidRPr="003D2F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з питань соціального захисту населення та молодіжної політики, освіти та охорон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и здоров’я, культури та спорту</w:t>
      </w:r>
      <w:r w:rsidR="00595095" w:rsidRPr="003D2F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</w:t>
      </w:r>
    </w:p>
    <w:p w:rsidR="00B61853" w:rsidRPr="003D2FA8" w:rsidRDefault="00B61853" w:rsidP="00B61853">
      <w:pPr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EB1CDA" w:rsidRDefault="00EB1CDA" w:rsidP="001C3C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820" w:rsidRDefault="004F4820" w:rsidP="001C3C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3F5C" w:rsidRDefault="00853F5C" w:rsidP="001C3C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3F5C" w:rsidRPr="00595095" w:rsidRDefault="00853F5C" w:rsidP="001C3C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5BF4" w:rsidRDefault="00245BF4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185E67" w:rsidRDefault="00185E67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28541C" w:rsidRDefault="0028541C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28541C" w:rsidRDefault="0028541C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28541C" w:rsidRDefault="0028541C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28541C" w:rsidRDefault="0028541C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28541C" w:rsidRDefault="0028541C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28541C" w:rsidRDefault="0028541C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28541C" w:rsidRDefault="0028541C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44537E" w:rsidRPr="008C6F79" w:rsidRDefault="00595095" w:rsidP="008C6F79">
      <w:pPr>
        <w:spacing w:after="0" w:line="240" w:lineRule="auto"/>
        <w:ind w:left="5103" w:firstLine="561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C6F7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ЗАТВЕРДЖЕНО</w:t>
      </w:r>
    </w:p>
    <w:p w:rsidR="00326AA4" w:rsidRPr="00326AA4" w:rsidRDefault="009D4AA1" w:rsidP="00326AA4">
      <w:pPr>
        <w:spacing w:after="0"/>
        <w:ind w:left="5670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zh-CN" w:bidi="hi-IN"/>
        </w:rPr>
      </w:pPr>
      <w:r w:rsidRPr="006F1CD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</w:t>
      </w:r>
      <w:r w:rsidR="00326AA4" w:rsidRPr="00326AA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zh-CN" w:bidi="hi-IN"/>
        </w:rPr>
        <w:t xml:space="preserve">Рішення </w:t>
      </w:r>
      <w:r w:rsidR="00853F5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zh-CN" w:bidi="hi-IN"/>
        </w:rPr>
        <w:t xml:space="preserve">   </w:t>
      </w:r>
      <w:r w:rsidR="00326AA4" w:rsidRPr="00326AA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zh-CN" w:bidi="hi-IN"/>
        </w:rPr>
        <w:t xml:space="preserve"> сесії міської ради                                                                                             </w:t>
      </w:r>
    </w:p>
    <w:p w:rsidR="00326AA4" w:rsidRPr="00326AA4" w:rsidRDefault="00853F5C" w:rsidP="00326AA4">
      <w:pPr>
        <w:suppressAutoHyphens/>
        <w:spacing w:after="0" w:line="240" w:lineRule="auto"/>
        <w:ind w:left="5670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zh-CN" w:bidi="hi-IN"/>
        </w:rPr>
        <w:t xml:space="preserve"> </w:t>
      </w:r>
      <w:r w:rsidR="00326AA4" w:rsidRPr="00326AA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zh-CN" w:bidi="hi-IN"/>
        </w:rPr>
        <w:t xml:space="preserve"> скликання</w:t>
      </w:r>
    </w:p>
    <w:p w:rsidR="006F1CDD" w:rsidRDefault="00326AA4" w:rsidP="00326AA4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zh-CN" w:bidi="hi-IN"/>
        </w:rPr>
        <w:t xml:space="preserve">        ______________</w:t>
      </w:r>
      <w:r w:rsidRPr="00326AA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zh-CN" w:bidi="hi-IN"/>
        </w:rPr>
        <w:t xml:space="preserve">  №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zh-CN" w:bidi="hi-IN"/>
        </w:rPr>
        <w:t>______</w:t>
      </w:r>
      <w:r w:rsidRPr="00326AA4">
        <w:rPr>
          <w:rFonts w:ascii="Times New Roman" w:eastAsia="SimSun" w:hAnsi="Times New Roman" w:cs="Times New Roman"/>
          <w:color w:val="3465A4"/>
          <w:kern w:val="2"/>
          <w:sz w:val="20"/>
          <w:szCs w:val="20"/>
          <w:lang w:val="uk-UA" w:eastAsia="zh-CN" w:bidi="hi-IN"/>
        </w:rPr>
        <w:tab/>
      </w:r>
    </w:p>
    <w:p w:rsidR="0012650E" w:rsidRDefault="0012650E" w:rsidP="00AB1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D4AA1" w:rsidRPr="006F1CDD" w:rsidRDefault="00AB18BA" w:rsidP="00AB1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F1C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</w:t>
      </w:r>
      <w:r w:rsidR="009D4AA1" w:rsidRPr="006F1C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ОРЯДОК</w:t>
      </w:r>
    </w:p>
    <w:p w:rsidR="008C6F79" w:rsidRPr="008C6F79" w:rsidRDefault="0028541C" w:rsidP="008C6F79">
      <w:pPr>
        <w:widowControl w:val="0"/>
        <w:shd w:val="clear" w:color="auto" w:fill="FFFFFF"/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</w:pPr>
      <w:r w:rsidRPr="0028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здійснення контролю за додержанням вимог Закону України «Про соціальні послуги» </w:t>
      </w:r>
      <w:r w:rsidR="008C6F79" w:rsidRPr="008C6F79"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>у Покровській міській територіальній громаді Дніпропетровської області</w:t>
      </w:r>
    </w:p>
    <w:p w:rsidR="0028541C" w:rsidRPr="0028541C" w:rsidRDefault="0028541C" w:rsidP="00285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DD060B" w:rsidRDefault="00DD060B" w:rsidP="00DD060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r w:rsidRPr="0012650E">
        <w:rPr>
          <w:lang w:val="uk-UA"/>
        </w:rPr>
        <w:t>1. Цей Порядок визначає процедуру здійснення контролю за додержанням вимог </w:t>
      </w:r>
      <w:hyperlink r:id="rId7" w:tgtFrame="_blank" w:history="1">
        <w:r w:rsidRPr="0012650E">
          <w:rPr>
            <w:rStyle w:val="a9"/>
            <w:color w:val="auto"/>
            <w:u w:val="none"/>
            <w:lang w:val="uk-UA"/>
          </w:rPr>
          <w:t>Закону України</w:t>
        </w:r>
      </w:hyperlink>
      <w:r w:rsidRPr="0012650E">
        <w:rPr>
          <w:lang w:val="uk-UA"/>
        </w:rPr>
        <w:t> «Про соціальні послуги» виконавчим комітетом Покровської міської ради Дніпропетровської області</w:t>
      </w:r>
      <w:r w:rsidR="008C6F79">
        <w:rPr>
          <w:lang w:val="uk-UA"/>
        </w:rPr>
        <w:t>.</w:t>
      </w:r>
      <w:r w:rsidRPr="0012650E">
        <w:rPr>
          <w:lang w:val="uk-UA"/>
        </w:rPr>
        <w:t xml:space="preserve"> 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0" w:name="n14"/>
      <w:bookmarkEnd w:id="0"/>
      <w:r w:rsidRPr="0012650E">
        <w:rPr>
          <w:lang w:val="uk-UA"/>
        </w:rPr>
        <w:t xml:space="preserve">2. </w:t>
      </w:r>
      <w:bookmarkStart w:id="1" w:name="n21"/>
      <w:bookmarkEnd w:id="1"/>
      <w:r w:rsidRPr="0012650E">
        <w:rPr>
          <w:lang w:val="uk-UA"/>
        </w:rPr>
        <w:t>Контроль за додержанням вимог </w:t>
      </w:r>
      <w:hyperlink r:id="rId8" w:tgtFrame="_blank" w:history="1">
        <w:r w:rsidRPr="0012650E">
          <w:rPr>
            <w:rStyle w:val="a9"/>
            <w:color w:val="auto"/>
            <w:u w:val="none"/>
            <w:lang w:val="uk-UA"/>
          </w:rPr>
          <w:t>Закону України</w:t>
        </w:r>
      </w:hyperlink>
      <w:r w:rsidRPr="0012650E">
        <w:rPr>
          <w:lang w:val="uk-UA"/>
        </w:rPr>
        <w:t> «Про соціальні послуги» здійснюється у формі планових та позапланових перевірок.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" w:name="n22"/>
      <w:bookmarkEnd w:id="2"/>
      <w:r w:rsidRPr="0012650E">
        <w:rPr>
          <w:lang w:val="uk-UA"/>
        </w:rPr>
        <w:t>3. Планові перевірки проводяться згідно з річними або квартальними планами, які затверджуються розпорядженням міського голови не пізніше ніж 1 грудня року, що передує плановому, або до 25 числа останнього місяця кварталу, що передує плановому.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3" w:name="n23"/>
      <w:bookmarkEnd w:id="3"/>
      <w:r w:rsidRPr="0012650E">
        <w:rPr>
          <w:lang w:val="uk-UA"/>
        </w:rPr>
        <w:t>Планова перевірка того самого органу, діяльність якого підлягає перевірці, проводиться не частіше ніж один раз на рік.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4" w:name="n24"/>
      <w:bookmarkEnd w:id="4"/>
      <w:r w:rsidRPr="0012650E">
        <w:rPr>
          <w:lang w:val="uk-UA"/>
        </w:rPr>
        <w:t>Плани проведення перевірок у строки, визначені розпорядженням міського голови,  розміщуються на офіційному веб-сайті Покровської міської ради.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r w:rsidRPr="0012650E">
        <w:rPr>
          <w:lang w:val="uk-UA"/>
        </w:rPr>
        <w:t>4. Позапланові перевірки проводяться з таких підстав: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5" w:name="n26"/>
      <w:bookmarkEnd w:id="5"/>
      <w:r w:rsidRPr="0012650E">
        <w:rPr>
          <w:lang w:val="uk-UA"/>
        </w:rPr>
        <w:t>- письмове звернення органів державної влади, органів місцевого самоврядування, громадських об’єднань, отримувачів соціальних послуг про порушення органом, діяльність якого підлягає перевірці, вимог </w:t>
      </w:r>
      <w:hyperlink r:id="rId9" w:tgtFrame="_blank" w:history="1">
        <w:r w:rsidRPr="0012650E">
          <w:rPr>
            <w:rStyle w:val="a9"/>
            <w:color w:val="auto"/>
            <w:u w:val="none"/>
            <w:lang w:val="uk-UA"/>
          </w:rPr>
          <w:t>Закону України</w:t>
        </w:r>
      </w:hyperlink>
      <w:r w:rsidR="00E51716" w:rsidRPr="0012650E">
        <w:rPr>
          <w:lang w:val="uk-UA"/>
        </w:rPr>
        <w:t> «</w:t>
      </w:r>
      <w:r w:rsidRPr="0012650E">
        <w:rPr>
          <w:lang w:val="uk-UA"/>
        </w:rPr>
        <w:t>Про соціальні послуги</w:t>
      </w:r>
      <w:r w:rsidR="00E51716" w:rsidRPr="0012650E">
        <w:rPr>
          <w:lang w:val="uk-UA"/>
        </w:rPr>
        <w:t>»</w:t>
      </w:r>
      <w:r w:rsidRPr="0012650E">
        <w:rPr>
          <w:lang w:val="uk-UA"/>
        </w:rPr>
        <w:t>;</w:t>
      </w:r>
    </w:p>
    <w:p w:rsidR="0028541C" w:rsidRPr="0012650E" w:rsidRDefault="00E51716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6" w:name="n27"/>
      <w:bookmarkEnd w:id="6"/>
      <w:r w:rsidRPr="0012650E">
        <w:rPr>
          <w:lang w:val="uk-UA"/>
        </w:rPr>
        <w:t xml:space="preserve">- </w:t>
      </w:r>
      <w:r w:rsidR="0028541C" w:rsidRPr="0012650E">
        <w:rPr>
          <w:lang w:val="uk-UA"/>
        </w:rPr>
        <w:t>перевірка виконання органом, діяльність якого підлягає перевірці, рекомендацій щодо усунення порушень вимог </w:t>
      </w:r>
      <w:hyperlink r:id="rId10" w:tgtFrame="_blank" w:history="1">
        <w:r w:rsidR="0028541C" w:rsidRPr="0012650E">
          <w:rPr>
            <w:rStyle w:val="a9"/>
            <w:color w:val="auto"/>
            <w:u w:val="none"/>
            <w:lang w:val="uk-UA"/>
          </w:rPr>
          <w:t>Закону України</w:t>
        </w:r>
      </w:hyperlink>
      <w:r w:rsidR="0028541C" w:rsidRPr="0012650E">
        <w:rPr>
          <w:lang w:val="uk-UA"/>
        </w:rPr>
        <w:t> </w:t>
      </w:r>
      <w:r w:rsidRPr="0012650E">
        <w:rPr>
          <w:lang w:val="uk-UA"/>
        </w:rPr>
        <w:t>«Про соціальні послуги»</w:t>
      </w:r>
      <w:r w:rsidR="0028541C" w:rsidRPr="0012650E">
        <w:rPr>
          <w:lang w:val="uk-UA"/>
        </w:rPr>
        <w:t>, наданих за результатами проведення перевірки;</w:t>
      </w:r>
    </w:p>
    <w:p w:rsidR="0028541C" w:rsidRPr="0012650E" w:rsidRDefault="00E51716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7" w:name="n28"/>
      <w:bookmarkEnd w:id="7"/>
      <w:r w:rsidRPr="0012650E">
        <w:rPr>
          <w:lang w:val="uk-UA"/>
        </w:rPr>
        <w:t xml:space="preserve">- </w:t>
      </w:r>
      <w:r w:rsidR="0028541C" w:rsidRPr="0012650E">
        <w:rPr>
          <w:lang w:val="uk-UA"/>
        </w:rPr>
        <w:t>за актами (дорученнями, актами реагування) Президента України, Прем’єр-міністра України, Уповноваженого Верховної Ради України з прав людини, Міністра соціальної політики</w:t>
      </w:r>
      <w:r w:rsidR="00EB2E60" w:rsidRPr="0012650E">
        <w:rPr>
          <w:lang w:val="uk-UA"/>
        </w:rPr>
        <w:t>, голови Дніпропетровської обласної державної адміністрації</w:t>
      </w:r>
      <w:r w:rsidR="0028541C" w:rsidRPr="0012650E">
        <w:rPr>
          <w:lang w:val="uk-UA"/>
        </w:rPr>
        <w:t>.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8" w:name="n29"/>
      <w:bookmarkStart w:id="9" w:name="n30"/>
      <w:bookmarkEnd w:id="8"/>
      <w:bookmarkEnd w:id="9"/>
      <w:r w:rsidRPr="0012650E">
        <w:rPr>
          <w:lang w:val="uk-UA"/>
        </w:rPr>
        <w:t>Під час проведення позапланової перевірки з’ясовуються лише ті питання, необхідність перевірки яких стала підставою для її проведення, з обов’язковим зазначенням таких питань у розпорядженні про проведення перевірки.</w:t>
      </w:r>
    </w:p>
    <w:p w:rsidR="0028541C" w:rsidRPr="0012650E" w:rsidRDefault="00E51716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0" w:name="n31"/>
      <w:bookmarkEnd w:id="10"/>
      <w:r w:rsidRPr="0012650E">
        <w:rPr>
          <w:lang w:val="uk-UA"/>
        </w:rPr>
        <w:t>5</w:t>
      </w:r>
      <w:r w:rsidR="0028541C" w:rsidRPr="0012650E">
        <w:rPr>
          <w:lang w:val="uk-UA"/>
        </w:rPr>
        <w:t xml:space="preserve">. </w:t>
      </w:r>
      <w:r w:rsidR="00565420">
        <w:rPr>
          <w:lang w:val="uk-UA"/>
        </w:rPr>
        <w:t>П</w:t>
      </w:r>
      <w:r w:rsidR="0028541C" w:rsidRPr="0012650E">
        <w:rPr>
          <w:lang w:val="uk-UA"/>
        </w:rPr>
        <w:t>роведення планової або позапланової перев</w:t>
      </w:r>
      <w:r w:rsidRPr="0012650E">
        <w:rPr>
          <w:lang w:val="uk-UA"/>
        </w:rPr>
        <w:t>ірки</w:t>
      </w:r>
      <w:r w:rsidR="00565420">
        <w:rPr>
          <w:lang w:val="uk-UA"/>
        </w:rPr>
        <w:t xml:space="preserve"> здійснюється на підставі розпорядження міського голови</w:t>
      </w:r>
      <w:r w:rsidR="0028541C" w:rsidRPr="0012650E">
        <w:rPr>
          <w:lang w:val="uk-UA"/>
        </w:rPr>
        <w:t>, в якому зазначається: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1" w:name="n32"/>
      <w:bookmarkEnd w:id="11"/>
      <w:r w:rsidRPr="0012650E">
        <w:rPr>
          <w:lang w:val="uk-UA"/>
        </w:rPr>
        <w:t xml:space="preserve">найменування </w:t>
      </w:r>
      <w:r w:rsidR="00565420">
        <w:rPr>
          <w:lang w:val="uk-UA"/>
        </w:rPr>
        <w:t>закладу</w:t>
      </w:r>
      <w:r w:rsidRPr="0012650E">
        <w:rPr>
          <w:lang w:val="uk-UA"/>
        </w:rPr>
        <w:t>, діяльність якого підлягає перевірці;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2" w:name="n33"/>
      <w:bookmarkEnd w:id="12"/>
      <w:r w:rsidRPr="0012650E">
        <w:rPr>
          <w:lang w:val="uk-UA"/>
        </w:rPr>
        <w:t>тип перевірки (планова або позапланова), питання, які є предметом перевірки, підстава для її проведення, дата початку та закінчення перевірки;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3" w:name="n34"/>
      <w:bookmarkEnd w:id="13"/>
      <w:r w:rsidRPr="0012650E">
        <w:rPr>
          <w:lang w:val="uk-UA"/>
        </w:rPr>
        <w:t xml:space="preserve">період діяльності </w:t>
      </w:r>
      <w:r w:rsidR="00565420">
        <w:rPr>
          <w:lang w:val="uk-UA"/>
        </w:rPr>
        <w:t>закладу</w:t>
      </w:r>
      <w:r w:rsidRPr="0012650E">
        <w:rPr>
          <w:lang w:val="uk-UA"/>
        </w:rPr>
        <w:t>, діяльність якого підлягає перевірці (у разі проведення планової перевірки);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4" w:name="n35"/>
      <w:bookmarkEnd w:id="14"/>
      <w:r w:rsidRPr="0012650E">
        <w:rPr>
          <w:lang w:val="uk-UA"/>
        </w:rPr>
        <w:t xml:space="preserve">склад комісії з проведення перевірки </w:t>
      </w:r>
      <w:r w:rsidR="00E51716" w:rsidRPr="0012650E">
        <w:rPr>
          <w:lang w:val="uk-UA"/>
        </w:rPr>
        <w:t xml:space="preserve">додержання вимог Закону України </w:t>
      </w:r>
      <w:r w:rsidR="00565420">
        <w:rPr>
          <w:lang w:val="uk-UA"/>
        </w:rPr>
        <w:t>«</w:t>
      </w:r>
      <w:r w:rsidR="00E51716" w:rsidRPr="0012650E">
        <w:rPr>
          <w:lang w:val="uk-UA"/>
        </w:rPr>
        <w:t>Про соціальні послуги</w:t>
      </w:r>
      <w:r w:rsidR="00565420">
        <w:rPr>
          <w:lang w:val="uk-UA"/>
        </w:rPr>
        <w:t>»</w:t>
      </w:r>
      <w:r w:rsidR="00E51716" w:rsidRPr="0012650E">
        <w:rPr>
          <w:lang w:val="uk-UA"/>
        </w:rPr>
        <w:t xml:space="preserve"> </w:t>
      </w:r>
      <w:r w:rsidRPr="0012650E">
        <w:rPr>
          <w:lang w:val="uk-UA"/>
        </w:rPr>
        <w:t xml:space="preserve">(далі - </w:t>
      </w:r>
      <w:r w:rsidR="00E51716" w:rsidRPr="0012650E">
        <w:rPr>
          <w:lang w:val="uk-UA"/>
        </w:rPr>
        <w:t>К</w:t>
      </w:r>
      <w:r w:rsidRPr="0012650E">
        <w:rPr>
          <w:lang w:val="uk-UA"/>
        </w:rPr>
        <w:t>омісія), її голова.</w:t>
      </w:r>
    </w:p>
    <w:p w:rsidR="0028541C" w:rsidRPr="0012650E" w:rsidRDefault="00E51716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5" w:name="n36"/>
      <w:bookmarkEnd w:id="15"/>
      <w:r w:rsidRPr="0012650E">
        <w:rPr>
          <w:lang w:val="uk-UA"/>
        </w:rPr>
        <w:lastRenderedPageBreak/>
        <w:t>6</w:t>
      </w:r>
      <w:r w:rsidR="0028541C" w:rsidRPr="0012650E">
        <w:rPr>
          <w:lang w:val="uk-UA"/>
        </w:rPr>
        <w:t>. Строк проведення планової або позапланової перевірки не може перевищувати 10 робочих днів.</w:t>
      </w:r>
    </w:p>
    <w:p w:rsidR="0028541C" w:rsidRPr="0012650E" w:rsidRDefault="00E51716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6" w:name="n37"/>
      <w:bookmarkEnd w:id="16"/>
      <w:r w:rsidRPr="0012650E">
        <w:rPr>
          <w:lang w:val="uk-UA"/>
        </w:rPr>
        <w:t>7</w:t>
      </w:r>
      <w:r w:rsidR="0028541C" w:rsidRPr="0012650E">
        <w:rPr>
          <w:lang w:val="uk-UA"/>
        </w:rPr>
        <w:t xml:space="preserve">. До участі у перевірці можуть залучатися представники </w:t>
      </w:r>
      <w:r w:rsidRPr="0012650E">
        <w:rPr>
          <w:lang w:val="uk-UA"/>
        </w:rPr>
        <w:t xml:space="preserve">структурних підрозділів виконавчого комітету Покровської міської ради, </w:t>
      </w:r>
      <w:r w:rsidR="0028541C" w:rsidRPr="0012650E">
        <w:rPr>
          <w:lang w:val="uk-UA"/>
        </w:rPr>
        <w:t>громадських об’єднань (за згодою)</w:t>
      </w:r>
      <w:r w:rsidRPr="0012650E">
        <w:rPr>
          <w:lang w:val="uk-UA"/>
        </w:rPr>
        <w:t>, депутати міської ради</w:t>
      </w:r>
      <w:r w:rsidR="0028541C" w:rsidRPr="0012650E">
        <w:rPr>
          <w:lang w:val="uk-UA"/>
        </w:rPr>
        <w:t>.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r w:rsidRPr="0012650E">
        <w:rPr>
          <w:lang w:val="uk-UA"/>
        </w:rPr>
        <w:t xml:space="preserve">8. Голова </w:t>
      </w:r>
      <w:r w:rsidR="00440FB0" w:rsidRPr="0012650E">
        <w:rPr>
          <w:lang w:val="uk-UA"/>
        </w:rPr>
        <w:t>К</w:t>
      </w:r>
      <w:r w:rsidRPr="0012650E">
        <w:rPr>
          <w:lang w:val="uk-UA"/>
        </w:rPr>
        <w:t xml:space="preserve">омісії  не пізніше ніж за 10 календарних днів до початку проведення планової перевірки надсилає </w:t>
      </w:r>
      <w:r w:rsidR="00565420">
        <w:rPr>
          <w:lang w:val="uk-UA"/>
        </w:rPr>
        <w:t>закладу</w:t>
      </w:r>
      <w:r w:rsidRPr="0012650E">
        <w:rPr>
          <w:lang w:val="uk-UA"/>
        </w:rPr>
        <w:t>, діяльність якого підлягає перевірці, повідомлення про її проведення.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7" w:name="n39"/>
      <w:bookmarkEnd w:id="17"/>
      <w:r w:rsidRPr="0012650E">
        <w:rPr>
          <w:lang w:val="uk-UA"/>
        </w:rPr>
        <w:t xml:space="preserve">Повідомлення надсилається через систему електронної взаємодії органів виконавчої влади або рекомендованим листом з повідомленням про вручення, а також може вручатися особисто керівнику </w:t>
      </w:r>
      <w:r w:rsidR="00565420">
        <w:rPr>
          <w:lang w:val="uk-UA"/>
        </w:rPr>
        <w:t>закладу</w:t>
      </w:r>
      <w:r w:rsidRPr="0012650E">
        <w:rPr>
          <w:lang w:val="uk-UA"/>
        </w:rPr>
        <w:t>, діяльність якого підлягає перевірці, або уповноваженій ним особі під розписку.</w:t>
      </w:r>
    </w:p>
    <w:p w:rsidR="00E51716" w:rsidRPr="0012650E" w:rsidRDefault="00440FB0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8" w:name="n40"/>
      <w:bookmarkEnd w:id="18"/>
      <w:r w:rsidRPr="0012650E">
        <w:rPr>
          <w:lang w:val="uk-UA"/>
        </w:rPr>
        <w:t>9</w:t>
      </w:r>
      <w:r w:rsidR="00E51716" w:rsidRPr="0012650E">
        <w:rPr>
          <w:lang w:val="uk-UA"/>
        </w:rPr>
        <w:t xml:space="preserve">. Про проведення позапланової перевірки </w:t>
      </w:r>
      <w:r w:rsidR="00565420">
        <w:rPr>
          <w:lang w:val="uk-UA"/>
        </w:rPr>
        <w:t>закладу</w:t>
      </w:r>
      <w:r w:rsidR="00E51716" w:rsidRPr="0012650E">
        <w:rPr>
          <w:lang w:val="uk-UA"/>
        </w:rPr>
        <w:t>, діяльність якого підлягає перевірці, не повідомляється.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9" w:name="n41"/>
      <w:bookmarkEnd w:id="19"/>
      <w:r w:rsidRPr="0012650E">
        <w:rPr>
          <w:lang w:val="uk-UA"/>
        </w:rPr>
        <w:t>1</w:t>
      </w:r>
      <w:r w:rsidR="00440FB0" w:rsidRPr="0012650E">
        <w:rPr>
          <w:lang w:val="uk-UA"/>
        </w:rPr>
        <w:t>0</w:t>
      </w:r>
      <w:r w:rsidRPr="0012650E">
        <w:rPr>
          <w:lang w:val="uk-UA"/>
        </w:rPr>
        <w:t xml:space="preserve">. Перед початком проведення перевірки </w:t>
      </w:r>
      <w:r w:rsidR="00440FB0" w:rsidRPr="0012650E">
        <w:rPr>
          <w:lang w:val="uk-UA"/>
        </w:rPr>
        <w:t>К</w:t>
      </w:r>
      <w:r w:rsidRPr="0012650E">
        <w:rPr>
          <w:lang w:val="uk-UA"/>
        </w:rPr>
        <w:t xml:space="preserve">омісією керівнику </w:t>
      </w:r>
      <w:r w:rsidR="00565420">
        <w:rPr>
          <w:lang w:val="uk-UA"/>
        </w:rPr>
        <w:t>закладу</w:t>
      </w:r>
      <w:r w:rsidRPr="0012650E">
        <w:rPr>
          <w:lang w:val="uk-UA"/>
        </w:rPr>
        <w:t xml:space="preserve">, діяльність якого підлягає перевірці, або уповноваженій ним особі надається копія </w:t>
      </w:r>
      <w:r w:rsidR="00440FB0" w:rsidRPr="0012650E">
        <w:rPr>
          <w:lang w:val="uk-UA"/>
        </w:rPr>
        <w:t>розпорядження</w:t>
      </w:r>
      <w:r w:rsidRPr="0012650E">
        <w:rPr>
          <w:lang w:val="uk-UA"/>
        </w:rPr>
        <w:t xml:space="preserve"> про перевірку.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0" w:name="n42"/>
      <w:bookmarkStart w:id="21" w:name="n46"/>
      <w:bookmarkEnd w:id="20"/>
      <w:bookmarkEnd w:id="21"/>
      <w:r w:rsidRPr="0012650E">
        <w:rPr>
          <w:lang w:val="uk-UA"/>
        </w:rPr>
        <w:t>1</w:t>
      </w:r>
      <w:r w:rsidR="00440FB0" w:rsidRPr="0012650E">
        <w:rPr>
          <w:lang w:val="uk-UA"/>
        </w:rPr>
        <w:t>1</w:t>
      </w:r>
      <w:r w:rsidRPr="0012650E">
        <w:rPr>
          <w:lang w:val="uk-UA"/>
        </w:rPr>
        <w:t>. Під час проведення планової перевірки з’ясовуються такі питання</w:t>
      </w:r>
      <w:r w:rsidR="00440FB0" w:rsidRPr="0012650E">
        <w:rPr>
          <w:lang w:val="uk-UA"/>
        </w:rPr>
        <w:t xml:space="preserve"> ( відповідно до компетенції </w:t>
      </w:r>
      <w:r w:rsidR="00372AB2">
        <w:rPr>
          <w:lang w:val="uk-UA"/>
        </w:rPr>
        <w:t>закладу</w:t>
      </w:r>
      <w:r w:rsidR="00440FB0" w:rsidRPr="0012650E">
        <w:rPr>
          <w:lang w:val="uk-UA"/>
        </w:rPr>
        <w:t>, діяльність якого підлягає перевірці)</w:t>
      </w:r>
      <w:r w:rsidRPr="0012650E">
        <w:rPr>
          <w:lang w:val="uk-UA"/>
        </w:rPr>
        <w:t>: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2" w:name="n47"/>
      <w:bookmarkEnd w:id="22"/>
      <w:r w:rsidRPr="0012650E">
        <w:rPr>
          <w:lang w:val="uk-UA"/>
        </w:rPr>
        <w:t xml:space="preserve">1) визначення потреб (узагальнення визначених потреб) населення </w:t>
      </w:r>
      <w:r w:rsidR="00440FB0" w:rsidRPr="0012650E">
        <w:rPr>
          <w:lang w:val="uk-UA"/>
        </w:rPr>
        <w:t xml:space="preserve">Покровської міської територіальної громади </w:t>
      </w:r>
      <w:r w:rsidRPr="0012650E">
        <w:rPr>
          <w:lang w:val="uk-UA"/>
        </w:rPr>
        <w:t>в соціальних послугах та оприлюднення відповідних результатів;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3" w:name="n48"/>
      <w:bookmarkEnd w:id="23"/>
      <w:r w:rsidRPr="0012650E">
        <w:rPr>
          <w:lang w:val="uk-UA"/>
        </w:rPr>
        <w:t>2) інформування населення</w:t>
      </w:r>
      <w:r w:rsidR="00440FB0" w:rsidRPr="0012650E">
        <w:rPr>
          <w:lang w:val="uk-UA"/>
        </w:rPr>
        <w:t xml:space="preserve"> Покровської міської територіальної громади</w:t>
      </w:r>
      <w:r w:rsidRPr="0012650E">
        <w:rPr>
          <w:lang w:val="uk-UA"/>
        </w:rPr>
        <w:t xml:space="preserve"> про перелік соціальних послуг, їх зміст і порядок надання у формі, доступній для сприйняття особами з будь-яким порушенням здоров’я;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4" w:name="n49"/>
      <w:bookmarkEnd w:id="24"/>
      <w:r w:rsidRPr="0012650E">
        <w:rPr>
          <w:lang w:val="uk-UA"/>
        </w:rPr>
        <w:t xml:space="preserve">3) затвердження, фінансування та виконання </w:t>
      </w:r>
      <w:r w:rsidR="00440FB0" w:rsidRPr="0012650E">
        <w:rPr>
          <w:lang w:val="uk-UA"/>
        </w:rPr>
        <w:t xml:space="preserve">міських </w:t>
      </w:r>
      <w:r w:rsidRPr="0012650E">
        <w:rPr>
          <w:lang w:val="uk-UA"/>
        </w:rPr>
        <w:t xml:space="preserve">програм у частині задоволення потреб осіб / сімей у соціальних послугах, розроблених за результатами визначення потреб населення </w:t>
      </w:r>
      <w:r w:rsidR="00440FB0" w:rsidRPr="0012650E">
        <w:rPr>
          <w:lang w:val="uk-UA"/>
        </w:rPr>
        <w:t>Покровської міської територіальної громади</w:t>
      </w:r>
      <w:r w:rsidRPr="0012650E">
        <w:rPr>
          <w:lang w:val="uk-UA"/>
        </w:rPr>
        <w:t xml:space="preserve"> у соціальних послугах;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5" w:name="n50"/>
      <w:bookmarkEnd w:id="25"/>
      <w:r w:rsidRPr="0012650E">
        <w:rPr>
          <w:lang w:val="uk-UA"/>
        </w:rPr>
        <w:t>4) здійснення моніторингу надання соціальних послуг, оцінки їх якості та оприлюднення відповідних результатів;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6" w:name="n51"/>
      <w:bookmarkEnd w:id="26"/>
      <w:r w:rsidRPr="0012650E">
        <w:rPr>
          <w:lang w:val="uk-UA"/>
        </w:rPr>
        <w:t>5) здійснення координації діяльності суб’єктів системи надання соціальних послуг на рівні</w:t>
      </w:r>
      <w:r w:rsidR="00440FB0" w:rsidRPr="0012650E">
        <w:rPr>
          <w:lang w:val="uk-UA"/>
        </w:rPr>
        <w:t xml:space="preserve"> громади</w:t>
      </w:r>
      <w:r w:rsidRPr="0012650E">
        <w:rPr>
          <w:lang w:val="uk-UA"/>
        </w:rPr>
        <w:t>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7" w:name="n52"/>
      <w:bookmarkEnd w:id="27"/>
      <w:r w:rsidRPr="0012650E">
        <w:rPr>
          <w:lang w:val="uk-UA"/>
        </w:rPr>
        <w:t>6) забезпечення взаємодії надавачів соціальних послуг та органів, установ, закладів, фізичних осіб - підприємців, які в межах своєї компетенції надають на рівні</w:t>
      </w:r>
      <w:r w:rsidR="00C054FA" w:rsidRPr="0012650E">
        <w:rPr>
          <w:lang w:val="uk-UA"/>
        </w:rPr>
        <w:t xml:space="preserve"> громади</w:t>
      </w:r>
      <w:r w:rsidRPr="0012650E">
        <w:rPr>
          <w:lang w:val="uk-UA"/>
        </w:rPr>
        <w:t xml:space="preserve"> допомогу вразливим групам населення та особам / сім’ям, які перебувають у складних життєвих обставинах, та / або здійснюють їх захист;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8" w:name="n53"/>
      <w:bookmarkEnd w:id="28"/>
      <w:r w:rsidRPr="0012650E">
        <w:rPr>
          <w:lang w:val="uk-UA"/>
        </w:rPr>
        <w:t>7) забезпечення ведення Реєстру надавачів та отримувачів соціальних послуг на рівні</w:t>
      </w:r>
      <w:r w:rsidR="00C054FA" w:rsidRPr="0012650E">
        <w:rPr>
          <w:lang w:val="uk-UA"/>
        </w:rPr>
        <w:t xml:space="preserve"> територіальної громади</w:t>
      </w:r>
      <w:r w:rsidRPr="0012650E">
        <w:rPr>
          <w:lang w:val="uk-UA"/>
        </w:rPr>
        <w:t>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9" w:name="n54"/>
      <w:bookmarkEnd w:id="29"/>
      <w:r w:rsidRPr="0012650E">
        <w:rPr>
          <w:lang w:val="uk-UA"/>
        </w:rPr>
        <w:t>8) поширення інформації щодо надання соціальних послуг, сприяння впровадженню найкращого досвіду надання соціальних послуг;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30" w:name="n55"/>
      <w:bookmarkEnd w:id="30"/>
      <w:r w:rsidRPr="0012650E">
        <w:rPr>
          <w:lang w:val="uk-UA"/>
        </w:rPr>
        <w:t>9) забезпечення підвищення професійної компетентності / кваліфікації працівників, які надають соціальні послуги;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31" w:name="n56"/>
      <w:bookmarkEnd w:id="31"/>
      <w:r w:rsidRPr="0012650E">
        <w:rPr>
          <w:lang w:val="uk-UA"/>
        </w:rPr>
        <w:t>10) забезпечення дотримання прав отримувачів соціальних послуг;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32" w:name="n57"/>
      <w:bookmarkEnd w:id="32"/>
      <w:r w:rsidRPr="0012650E">
        <w:rPr>
          <w:lang w:val="uk-UA"/>
        </w:rPr>
        <w:lastRenderedPageBreak/>
        <w:t>11) дотримання порядку розгляду заяв, звернень і повідомлень про надання соціальних послуг і прийняття рішень про надання чи відмову в наданні соціальних послуг.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3" w:name="n58"/>
      <w:bookmarkEnd w:id="33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Результати перевірки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діяльність якого підлягає перевірці, оформляються актом перевірки додержання вимог </w:t>
      </w:r>
      <w:hyperlink r:id="rId11" w:tgtFrame="_blank" w:history="1">
        <w:r w:rsidRPr="0012650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“Про соціальні послуги” (далі - </w:t>
      </w:r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 перевірки), який складається у двох примірниках за формою</w:t>
      </w:r>
      <w:r w:rsidR="005656B7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656B7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затвердженою постановою Кабінету Міністрів України</w:t>
      </w:r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01.06.2020 р. № 427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підписується головою та членами </w:t>
      </w:r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омісії в останній день перевірки.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4" w:name="n66"/>
      <w:bookmarkEnd w:id="34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 перевірки повинен містити чіткі та стислі формулювання, які характеризують діяльність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в разі виявлення порушень вимог </w:t>
      </w:r>
      <w:hyperlink r:id="rId12" w:tgtFrame="_blank" w:history="1">
        <w:r w:rsidRPr="0012650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соціальні послуги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факти з посиланням на відповідні норми </w:t>
      </w:r>
      <w:hyperlink r:id="rId13" w:tgtFrame="_blank" w:history="1">
        <w:r w:rsidRPr="0012650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соціальні послуги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які порушено, та рекомендації щодо їх усунення із зазначенням строків усунення порушень, що не можуть бути меншими ніж 10 робочих днів.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5" w:name="n67"/>
      <w:bookmarkEnd w:id="35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103E57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 разі виявлення порушень вимог </w:t>
      </w:r>
      <w:hyperlink r:id="rId14" w:tgtFrame="_blank" w:history="1">
        <w:r w:rsidRPr="0012650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соціальні послуги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</w:t>
      </w:r>
      <w:proofErr w:type="spellStart"/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кта</w:t>
      </w:r>
      <w:proofErr w:type="spellEnd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перевірки додаються матеріали перевірки: копії та витяги з документів, засвідчені уповноваженою особою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пояснення посадових осіб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діяльність якого підлягає перевірці, та інші документи, що підтверджують порушення.</w:t>
      </w:r>
    </w:p>
    <w:p w:rsidR="00EB2E60" w:rsidRPr="00EB2E60" w:rsidRDefault="00103E57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6" w:name="n68"/>
      <w:bookmarkEnd w:id="36"/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Один примірник </w:t>
      </w:r>
      <w:proofErr w:type="spellStart"/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кта</w:t>
      </w:r>
      <w:proofErr w:type="spellEnd"/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перевірки вручається керівнику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або уповноваженій ним особі в останній день перевірки, другий - зберігається в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управлінні праці та соціального захисту населення виконавчого комітету Покровської міської ради Дніпропетровської області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(далі – Управління)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п’ять років.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7" w:name="n69"/>
      <w:bookmarkEnd w:id="37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 час вручення </w:t>
      </w:r>
      <w:proofErr w:type="spellStart"/>
      <w:r w:rsidR="0012650E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кта</w:t>
      </w:r>
      <w:proofErr w:type="spellEnd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перевірки на його обох примірниках робиться відмітка про отримання, в якій зазначається посада, підпис, прізвище, власне ім’я та по батькові керівника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діяльність якого підлягає перевірці, або уповноваженої ним особи.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8" w:name="n70"/>
      <w:bookmarkEnd w:id="38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разі відмови керівника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або уповноваженої ним </w:t>
      </w:r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особи від отримання примірника </w:t>
      </w:r>
      <w:proofErr w:type="spellStart"/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кта</w:t>
      </w:r>
      <w:proofErr w:type="spellEnd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перевірки на обох примірниках робиться відмітка про відмову від отримання </w:t>
      </w:r>
      <w:proofErr w:type="spellStart"/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кта</w:t>
      </w:r>
      <w:proofErr w:type="spellEnd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із зазначенням посади, прізвища, власного імені та по батькові керівника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або уповноваженої ним особи. У такому разі один примірник </w:t>
      </w:r>
      <w:proofErr w:type="spellStart"/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кта</w:t>
      </w:r>
      <w:proofErr w:type="spellEnd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перевірки надсилається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діяльність якого підлягає перевірці, через систему електронної взаємодії органів виконавчої влади або рекомендованим листом з описом вкладення та повідомленням про вручення.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9" w:name="n71"/>
      <w:bookmarkEnd w:id="39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</w:t>
      </w:r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онне повідомлення про доставку </w:t>
      </w:r>
      <w:proofErr w:type="spellStart"/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кта</w:t>
      </w:r>
      <w:proofErr w:type="spellEnd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перевірки через систему електронної взаємодії органів виконавчої влади або повідомлення про вручення рекомендованого листа є підтвердженням факту отримання примірника </w:t>
      </w:r>
      <w:proofErr w:type="spellStart"/>
      <w:r w:rsidR="0012650E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кта</w:t>
      </w:r>
      <w:proofErr w:type="spellEnd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перевірки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та зберігається разом з примірником </w:t>
      </w:r>
      <w:proofErr w:type="spellStart"/>
      <w:r w:rsidR="0012650E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кта</w:t>
      </w:r>
      <w:proofErr w:type="spellEnd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перевірки в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</w:t>
      </w:r>
      <w:r w:rsidR="00932500" w:rsidRP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правлінні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B2E60" w:rsidRPr="00EB2E60" w:rsidRDefault="00103E57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0" w:name="n72"/>
      <w:bookmarkEnd w:id="40"/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У разі наявності зауважень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</w:t>
      </w:r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ь якого підлягає перевірці, до </w:t>
      </w:r>
      <w:proofErr w:type="spellStart"/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кта</w:t>
      </w:r>
      <w:proofErr w:type="spellEnd"/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перевірки на всіх його примірниках перед підписом керівника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діяльність якого підлягає перевірці, або уповноваженої ним особи робиться відмітка про зауваження.</w:t>
      </w:r>
    </w:p>
    <w:p w:rsidR="00EB2E60" w:rsidRPr="00EB2E60" w:rsidRDefault="00103E57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1" w:name="n73"/>
      <w:bookmarkEnd w:id="41"/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Зауваження надсилаються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закладом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до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через систему електронної взаємодії органів виконавчої влади або рекомендованим листом з повідомленням про вручення протягом двох робочих днів після отримання </w:t>
      </w:r>
      <w:proofErr w:type="spellStart"/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кта</w:t>
      </w:r>
      <w:proofErr w:type="spellEnd"/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перевірки.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2" w:name="n74"/>
      <w:bookmarkEnd w:id="42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результатами розгляду зауважень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Комісія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може змінити рекомендації щодо їх усунення, скасувати їх або залишити без змін.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3" w:name="n75"/>
      <w:bookmarkEnd w:id="43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Рішення про результати розгляду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Комісією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зауважень надсилається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протягом 10 робочих днів після їх отримання через систему електронної взаємодії органів виконавчої влади або рекомендованим листом з повідомленням про вручення, а також може вручатися особисто керівнику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діяльність якого підлягає перевірці, або уповноваженій ним особі під розписку.</w:t>
      </w:r>
    </w:p>
    <w:p w:rsidR="00EB2E60" w:rsidRPr="00EB2E60" w:rsidRDefault="00103E57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4" w:name="n76"/>
      <w:bookmarkEnd w:id="44"/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Про результати розгляду рекомендацій та вжиті заходи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повідомляє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Комісії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визначені в рекомендаціях строки шляхом надсилання листа через систему електронної взаємодії органів виконавчої влади або рекомендованим листом з повідомленням про вручення, а також вручення особисто голові </w:t>
      </w:r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омісії під розписку.</w:t>
      </w:r>
    </w:p>
    <w:p w:rsidR="00EB2E60" w:rsidRPr="00EB2E60" w:rsidRDefault="005656B7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5" w:name="n77"/>
      <w:bookmarkEnd w:id="45"/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У разі неотримання у визначені в рекомендаціях строки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Комісією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інформації про результати розгляду рекомендацій та вжиті заходи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Комісія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може прийняти рішення про проведення позапланової перевірки відповідно до </w:t>
      </w:r>
      <w:hyperlink r:id="rId15" w:anchor="n27" w:history="1">
        <w:r w:rsidR="00EB2E60" w:rsidRPr="0012650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абзацу третього</w:t>
        </w:r>
      </w:hyperlink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пункту </w:t>
      </w:r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цього Порядку.</w:t>
      </w:r>
    </w:p>
    <w:p w:rsidR="00EB2E60" w:rsidRPr="00EB2E60" w:rsidRDefault="005656B7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6" w:name="n78"/>
      <w:bookmarkEnd w:id="46"/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 разі невжиття закладом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заходів щодо усунення виявлених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Комісією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порушень вимог </w:t>
      </w:r>
      <w:hyperlink r:id="rId16" w:tgtFrame="_blank" w:history="1">
        <w:r w:rsidR="00EB2E60" w:rsidRPr="0012650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соціальні послуги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Комісії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має право звернутися до 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міського голови 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вмотивованим поданням про вжиття відповідних заходів у межах наданих повноважень.</w:t>
      </w:r>
    </w:p>
    <w:p w:rsidR="00EB2E60" w:rsidRPr="00EB2E60" w:rsidRDefault="005656B7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7" w:name="n79"/>
      <w:bookmarkEnd w:id="47"/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За результатами перевірок 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Комісія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форму</w:t>
      </w:r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окрему справу щодо кожного 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діяльність якого підлягає перевірці, до якої додаються такі документи: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8" w:name="n80"/>
      <w:bookmarkEnd w:id="48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копія </w:t>
      </w:r>
      <w:r w:rsidR="005656B7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перевірку;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9" w:name="n81"/>
      <w:bookmarkEnd w:id="49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копія повідомлення про проведення перевірки (у разі проведення планової перевірки);</w:t>
      </w:r>
    </w:p>
    <w:p w:rsidR="00EB2E60" w:rsidRPr="00EB2E60" w:rsidRDefault="003125E9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0" w:name="n82"/>
      <w:bookmarkEnd w:id="50"/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 перевірки;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1" w:name="n83"/>
      <w:bookmarkEnd w:id="51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електронне повідомлення про доставку </w:t>
      </w:r>
      <w:proofErr w:type="spellStart"/>
      <w:r w:rsidR="0012650E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кта</w:t>
      </w:r>
      <w:proofErr w:type="spellEnd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перевірки через систему електронної взаємодії органів виконавчої влади або повідомлення про вручення поштового відправлення, яким 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</w:t>
      </w:r>
      <w:r w:rsidR="0012650E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перевірці, надіслано примірник </w:t>
      </w:r>
      <w:proofErr w:type="spellStart"/>
      <w:r w:rsidR="0012650E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кта</w:t>
      </w:r>
      <w:proofErr w:type="spellEnd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перевірки (у разі їх відмови від отримання </w:t>
      </w:r>
      <w:proofErr w:type="spellStart"/>
      <w:r w:rsidR="0012650E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кта</w:t>
      </w:r>
      <w:proofErr w:type="spellEnd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перевірки);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2" w:name="n84"/>
      <w:bookmarkEnd w:id="52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зауваження 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до </w:t>
      </w:r>
      <w:proofErr w:type="spellStart"/>
      <w:r w:rsidR="0012650E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кта</w:t>
      </w:r>
      <w:proofErr w:type="spellEnd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перевірки (за наявності);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3" w:name="n85"/>
      <w:bookmarkEnd w:id="53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копії документів, що підтверджують виявлені в ході перевірки порушення</w:t>
      </w:r>
      <w:r w:rsidR="000743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закладом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діяльність якого підлягає перевірці, вимог </w:t>
      </w:r>
      <w:hyperlink r:id="rId17" w:tgtFrame="_blank" w:history="1">
        <w:r w:rsidRPr="0012650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соціальні послуги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(у разі виявлення порушень);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4" w:name="n86"/>
      <w:bookmarkEnd w:id="54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інформація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діяльність якого підлягає перевірці, про усунення порушень вимог </w:t>
      </w:r>
      <w:hyperlink r:id="rId18" w:tgtFrame="_blank" w:history="1">
        <w:r w:rsidRPr="0012650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соціальні послуги»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(за наявності);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5" w:name="n87"/>
      <w:bookmarkEnd w:id="55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інші документи, що стосуються перевірки.</w:t>
      </w:r>
    </w:p>
    <w:p w:rsid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6" w:name="n88"/>
      <w:bookmarkEnd w:id="56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5656B7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Управлінням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ведеться облік перевірок за додержанням вимог </w:t>
      </w:r>
      <w:hyperlink r:id="rId19" w:tgtFrame="_blank" w:history="1">
        <w:r w:rsidRPr="0012650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0743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соціальні послуги</w:t>
      </w:r>
      <w:r w:rsidR="000743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53F5C" w:rsidRPr="00EB2E60" w:rsidRDefault="00853F5C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7" w:name="_GoBack"/>
      <w:bookmarkEnd w:id="57"/>
    </w:p>
    <w:p w:rsidR="00DD060B" w:rsidRPr="0012650E" w:rsidRDefault="00DD060B" w:rsidP="00DD06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12650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Начальник </w:t>
      </w:r>
      <w:r w:rsidR="008C6F7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У</w:t>
      </w:r>
      <w:r w:rsidRPr="0012650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правління праці та </w:t>
      </w:r>
    </w:p>
    <w:p w:rsidR="00DD060B" w:rsidRPr="0012650E" w:rsidRDefault="00DD060B" w:rsidP="00DD06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12650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соціального захисту населення </w:t>
      </w:r>
    </w:p>
    <w:p w:rsidR="00DD060B" w:rsidRPr="0012650E" w:rsidRDefault="00DD060B" w:rsidP="00DD06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12650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виконавчого комітету Покровської </w:t>
      </w:r>
    </w:p>
    <w:p w:rsidR="00DD060B" w:rsidRPr="0012650E" w:rsidRDefault="00DD060B" w:rsidP="00DD06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650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міської ради Дніпропетровської області           </w:t>
      </w:r>
      <w:r w:rsidR="00B3095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</w:t>
      </w:r>
      <w:r w:rsidRPr="0012650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Тетяна ІГНАТЮК</w:t>
      </w:r>
    </w:p>
    <w:p w:rsidR="00155A33" w:rsidRPr="0012650E" w:rsidRDefault="00155A33" w:rsidP="00DD06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155A33" w:rsidRPr="0012650E" w:rsidSect="00853F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0F6" w:rsidRDefault="007600F6" w:rsidP="00E312EE">
      <w:pPr>
        <w:spacing w:after="0" w:line="240" w:lineRule="auto"/>
      </w:pPr>
      <w:r>
        <w:separator/>
      </w:r>
    </w:p>
  </w:endnote>
  <w:endnote w:type="continuationSeparator" w:id="0">
    <w:p w:rsidR="007600F6" w:rsidRDefault="007600F6" w:rsidP="00E3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0F6" w:rsidRDefault="007600F6" w:rsidP="00E312EE">
      <w:pPr>
        <w:spacing w:after="0" w:line="240" w:lineRule="auto"/>
      </w:pPr>
      <w:r>
        <w:separator/>
      </w:r>
    </w:p>
  </w:footnote>
  <w:footnote w:type="continuationSeparator" w:id="0">
    <w:p w:rsidR="007600F6" w:rsidRDefault="007600F6" w:rsidP="00E31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45A45"/>
    <w:multiLevelType w:val="multilevel"/>
    <w:tmpl w:val="18F6173C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445"/>
    <w:rsid w:val="00021641"/>
    <w:rsid w:val="00070C52"/>
    <w:rsid w:val="00072713"/>
    <w:rsid w:val="00074318"/>
    <w:rsid w:val="00103E57"/>
    <w:rsid w:val="00121E2E"/>
    <w:rsid w:val="0012650E"/>
    <w:rsid w:val="00134CEB"/>
    <w:rsid w:val="0014463C"/>
    <w:rsid w:val="00155A33"/>
    <w:rsid w:val="00185E67"/>
    <w:rsid w:val="00187157"/>
    <w:rsid w:val="00193E32"/>
    <w:rsid w:val="0019552C"/>
    <w:rsid w:val="001B4922"/>
    <w:rsid w:val="001C3C1F"/>
    <w:rsid w:val="001E7065"/>
    <w:rsid w:val="001F34AA"/>
    <w:rsid w:val="00217893"/>
    <w:rsid w:val="0023490E"/>
    <w:rsid w:val="0024090F"/>
    <w:rsid w:val="00240AE3"/>
    <w:rsid w:val="00242A9C"/>
    <w:rsid w:val="00245BF4"/>
    <w:rsid w:val="0025614A"/>
    <w:rsid w:val="002602E1"/>
    <w:rsid w:val="0028541C"/>
    <w:rsid w:val="00287DA5"/>
    <w:rsid w:val="002E22FF"/>
    <w:rsid w:val="0030485C"/>
    <w:rsid w:val="003125E9"/>
    <w:rsid w:val="00326AA4"/>
    <w:rsid w:val="003538E2"/>
    <w:rsid w:val="003613AA"/>
    <w:rsid w:val="00362A60"/>
    <w:rsid w:val="00372AB2"/>
    <w:rsid w:val="003C2B99"/>
    <w:rsid w:val="003D2FA8"/>
    <w:rsid w:val="003D44FD"/>
    <w:rsid w:val="00405996"/>
    <w:rsid w:val="004151D4"/>
    <w:rsid w:val="00426740"/>
    <w:rsid w:val="004277B3"/>
    <w:rsid w:val="00440FB0"/>
    <w:rsid w:val="0044537E"/>
    <w:rsid w:val="00451A67"/>
    <w:rsid w:val="004559E7"/>
    <w:rsid w:val="0046449F"/>
    <w:rsid w:val="0048257D"/>
    <w:rsid w:val="004A2DE8"/>
    <w:rsid w:val="004A6CDC"/>
    <w:rsid w:val="004B6FAB"/>
    <w:rsid w:val="004D498D"/>
    <w:rsid w:val="004E6E3B"/>
    <w:rsid w:val="004F4820"/>
    <w:rsid w:val="00502E51"/>
    <w:rsid w:val="005438E2"/>
    <w:rsid w:val="005473C4"/>
    <w:rsid w:val="00550A97"/>
    <w:rsid w:val="00565420"/>
    <w:rsid w:val="005656B7"/>
    <w:rsid w:val="00573256"/>
    <w:rsid w:val="0058124C"/>
    <w:rsid w:val="00594903"/>
    <w:rsid w:val="00595095"/>
    <w:rsid w:val="005D6096"/>
    <w:rsid w:val="005E0574"/>
    <w:rsid w:val="005E4EB4"/>
    <w:rsid w:val="005F388D"/>
    <w:rsid w:val="005F4469"/>
    <w:rsid w:val="00651E82"/>
    <w:rsid w:val="006A0355"/>
    <w:rsid w:val="006A75F0"/>
    <w:rsid w:val="006B1700"/>
    <w:rsid w:val="006F1CDD"/>
    <w:rsid w:val="006F406B"/>
    <w:rsid w:val="00702CC9"/>
    <w:rsid w:val="00703EB0"/>
    <w:rsid w:val="007060EC"/>
    <w:rsid w:val="00713DF2"/>
    <w:rsid w:val="007600F6"/>
    <w:rsid w:val="0076410C"/>
    <w:rsid w:val="0079519A"/>
    <w:rsid w:val="00795EEF"/>
    <w:rsid w:val="007E420B"/>
    <w:rsid w:val="00847B8C"/>
    <w:rsid w:val="00853F5C"/>
    <w:rsid w:val="00855863"/>
    <w:rsid w:val="00861848"/>
    <w:rsid w:val="008B2BDE"/>
    <w:rsid w:val="008C6F79"/>
    <w:rsid w:val="008D7FD9"/>
    <w:rsid w:val="008E08D2"/>
    <w:rsid w:val="008E754E"/>
    <w:rsid w:val="008F04A9"/>
    <w:rsid w:val="009014A7"/>
    <w:rsid w:val="009052B4"/>
    <w:rsid w:val="00925951"/>
    <w:rsid w:val="00932500"/>
    <w:rsid w:val="00950038"/>
    <w:rsid w:val="0096744C"/>
    <w:rsid w:val="00987730"/>
    <w:rsid w:val="009D4AA1"/>
    <w:rsid w:val="009E09A1"/>
    <w:rsid w:val="00A007E5"/>
    <w:rsid w:val="00A527E1"/>
    <w:rsid w:val="00A83B3F"/>
    <w:rsid w:val="00A843DD"/>
    <w:rsid w:val="00AA3E0E"/>
    <w:rsid w:val="00AA438F"/>
    <w:rsid w:val="00AB18BA"/>
    <w:rsid w:val="00AD792D"/>
    <w:rsid w:val="00AE0D43"/>
    <w:rsid w:val="00B3095F"/>
    <w:rsid w:val="00B4578C"/>
    <w:rsid w:val="00B56C1F"/>
    <w:rsid w:val="00B61853"/>
    <w:rsid w:val="00B7757C"/>
    <w:rsid w:val="00B853C9"/>
    <w:rsid w:val="00B9477B"/>
    <w:rsid w:val="00BA7214"/>
    <w:rsid w:val="00BF79AD"/>
    <w:rsid w:val="00C054FA"/>
    <w:rsid w:val="00C13FA4"/>
    <w:rsid w:val="00C77A73"/>
    <w:rsid w:val="00C900B2"/>
    <w:rsid w:val="00CC1D26"/>
    <w:rsid w:val="00CC2C39"/>
    <w:rsid w:val="00CF2446"/>
    <w:rsid w:val="00CF59C3"/>
    <w:rsid w:val="00D53445"/>
    <w:rsid w:val="00D55A44"/>
    <w:rsid w:val="00DA540E"/>
    <w:rsid w:val="00DB0C5D"/>
    <w:rsid w:val="00DD060B"/>
    <w:rsid w:val="00DD3414"/>
    <w:rsid w:val="00E04E16"/>
    <w:rsid w:val="00E13ED3"/>
    <w:rsid w:val="00E312EE"/>
    <w:rsid w:val="00E348E3"/>
    <w:rsid w:val="00E4366E"/>
    <w:rsid w:val="00E502C5"/>
    <w:rsid w:val="00E51716"/>
    <w:rsid w:val="00EB1CDA"/>
    <w:rsid w:val="00EB2E60"/>
    <w:rsid w:val="00EC3A23"/>
    <w:rsid w:val="00F3593F"/>
    <w:rsid w:val="00F7456B"/>
    <w:rsid w:val="00F90F94"/>
    <w:rsid w:val="00F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9EE3"/>
  <w15:docId w15:val="{2C47A107-1AF8-438E-9E80-4698DE5E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D79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3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2EE"/>
  </w:style>
  <w:style w:type="paragraph" w:styleId="a5">
    <w:name w:val="footer"/>
    <w:basedOn w:val="a"/>
    <w:link w:val="a6"/>
    <w:uiPriority w:val="99"/>
    <w:unhideWhenUsed/>
    <w:rsid w:val="00E3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2EE"/>
  </w:style>
  <w:style w:type="paragraph" w:styleId="a7">
    <w:name w:val="Balloon Text"/>
    <w:basedOn w:val="a"/>
    <w:link w:val="a8"/>
    <w:uiPriority w:val="99"/>
    <w:semiHidden/>
    <w:unhideWhenUsed/>
    <w:rsid w:val="00A52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27E1"/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CF2446"/>
    <w:pPr>
      <w:spacing w:after="0" w:line="240" w:lineRule="auto"/>
    </w:pPr>
    <w:rPr>
      <w:rFonts w:ascii="Calibri" w:eastAsia="NSimSun" w:hAnsi="Calibri" w:cs="Lucida Sans"/>
      <w:sz w:val="20"/>
      <w:szCs w:val="20"/>
      <w:lang w:val="uk-UA" w:eastAsia="zh-CN" w:bidi="hi-IN"/>
    </w:rPr>
  </w:style>
  <w:style w:type="paragraph" w:customStyle="1" w:styleId="rvps2">
    <w:name w:val="rvps2"/>
    <w:basedOn w:val="a"/>
    <w:rsid w:val="0028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541C"/>
    <w:rPr>
      <w:color w:val="0000FF"/>
      <w:u w:val="single"/>
    </w:rPr>
  </w:style>
  <w:style w:type="character" w:customStyle="1" w:styleId="rvts46">
    <w:name w:val="rvts46"/>
    <w:basedOn w:val="a0"/>
    <w:rsid w:val="0028541C"/>
  </w:style>
  <w:style w:type="character" w:styleId="aa">
    <w:name w:val="Strong"/>
    <w:basedOn w:val="a0"/>
    <w:uiPriority w:val="22"/>
    <w:qFormat/>
    <w:rsid w:val="00103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71-19" TargetMode="External"/><Relationship Id="rId13" Type="http://schemas.openxmlformats.org/officeDocument/2006/relationships/hyperlink" Target="https://zakon.rada.gov.ua/laws/show/2671-19" TargetMode="External"/><Relationship Id="rId18" Type="http://schemas.openxmlformats.org/officeDocument/2006/relationships/hyperlink" Target="https://zakon.rada.gov.ua/laws/show/2671-1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kon.rada.gov.ua/laws/show/2671-19" TargetMode="External"/><Relationship Id="rId12" Type="http://schemas.openxmlformats.org/officeDocument/2006/relationships/hyperlink" Target="https://zakon.rada.gov.ua/laws/show/2671-19" TargetMode="External"/><Relationship Id="rId17" Type="http://schemas.openxmlformats.org/officeDocument/2006/relationships/hyperlink" Target="https://zakon.rada.gov.ua/laws/show/2671-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671-1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671-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427-2020-%D0%BF" TargetMode="External"/><Relationship Id="rId10" Type="http://schemas.openxmlformats.org/officeDocument/2006/relationships/hyperlink" Target="https://zakon.rada.gov.ua/laws/show/2671-19" TargetMode="External"/><Relationship Id="rId19" Type="http://schemas.openxmlformats.org/officeDocument/2006/relationships/hyperlink" Target="https://zakon.rada.gov.ua/laws/show/2671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671-19" TargetMode="External"/><Relationship Id="rId14" Type="http://schemas.openxmlformats.org/officeDocument/2006/relationships/hyperlink" Target="https://zakon.rada.gov.ua/laws/show/2671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5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19</cp:revision>
  <cp:lastPrinted>2024-06-13T08:48:00Z</cp:lastPrinted>
  <dcterms:created xsi:type="dcterms:W3CDTF">2024-02-01T14:57:00Z</dcterms:created>
  <dcterms:modified xsi:type="dcterms:W3CDTF">2024-06-17T10:47:00Z</dcterms:modified>
</cp:coreProperties>
</file>