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5205095</wp:posOffset>
                </wp:positionH>
                <wp:positionV relativeFrom="paragraph">
                  <wp:posOffset>-367030</wp:posOffset>
                </wp:positionV>
                <wp:extent cx="6108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9.85pt;margin-top:-28.9pt;width:4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2844800</wp:posOffset>
            </wp:positionH>
            <wp:positionV relativeFrom="paragraph">
              <wp:posOffset>-342900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5" r="-2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23.09.2020р.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38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2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купівлі-продажу будинку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проживає за адресою: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Заявниця просить надати дозвіл на укладання договору купівлі-продажу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За даною адресою зареєстрована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малолітня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при укладанні вищезазначеного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true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 пункту «б» ст. 34, статтями 40, 59 Закону України «Про місцеве самоврядування в Україні», ст. 17 Закону України «Про охорону дитинства», ст.176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купівлі-продажу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знаходиться за адресою: Дніпропетровська область,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 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 виконавчого комітету Покровської міської ради Дніпропетровської області.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</w:t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LibreOffice/6.1.4.2$Windows_x86 LibreOffice_project/9d0f32d1f0b509096fd65e0d4bec26ddd1938fd3</Application>
  <Pages>2</Pages>
  <Words>212</Words>
  <Characters>1464</Characters>
  <CharactersWithSpaces>1946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2020-09-17T09:43:48Z</cp:lastPrinted>
  <dcterms:modified xsi:type="dcterms:W3CDTF">2020-10-30T14:46:55Z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