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порядок використання субвенції 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 ***, керуючись статтею 2 Бюджетного кодексу України, статтями 26, 40, 46, 59 Закону України “Про місцеве самоврядування в Україні”,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shd w:fill="auto" w:val="clear"/>
          <w:lang w:val="uk-UA"/>
        </w:rPr>
        <w:t>Затвердити порядок використання субвенції по Програмі ***(додаток 1)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67945</wp:posOffset>
              </wp:positionV>
              <wp:extent cx="6126480" cy="2095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576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5.35pt" to="483.6pt,6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LibreOffice/7.0.1.2$Linux_X86_64 LibreOffice_project/7cbcfc562f6eb6708b5ff7d7397325de9e764452</Application>
  <Pages>1</Pages>
  <Words>84</Words>
  <Characters>595</Characters>
  <CharactersWithSpaces>922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2021-06-07T16:18:38Z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