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5395595</wp:posOffset>
                </wp:positionH>
                <wp:positionV relativeFrom="paragraph">
                  <wp:posOffset>-258445</wp:posOffset>
                </wp:positionV>
                <wp:extent cx="448310" cy="191135"/>
                <wp:effectExtent l="0" t="0" r="0" b="0"/>
                <wp:wrapNone/>
                <wp:docPr id="1" name="Фігура1"/>
                <a:graphic xmlns:a="http://schemas.openxmlformats.org/drawingml/2006/main">
                  <a:graphicData uri="http://schemas.microsoft.com/office/word/2010/wordprocessingShape">
                    <wps:wsp>
                      <wps:cNvSpPr txBox="1"/>
                      <wps:spPr>
                        <a:xfrm>
                          <a:off x="0" y="0"/>
                          <a:ext cx="447840" cy="19044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24.85pt;margin-top:-20.35pt;width:35.2pt;height:14.9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28 жовтня 2020 року                                м.Покров                                                 № 445</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тимчасової споруди по вул. Чайкіної Лізи, 27</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Онікієнко Т.С.</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Онікієнко Тетяни Сергіївни щодо продовження терміну користування місцем розміщення тимчасової споруди – торговельного павільйону для провадження підприємницької діяльності по вул. Чайкіної Лізи, 27,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фізичній особі - підприємцю </w:t>
      </w:r>
      <w:r>
        <w:rPr>
          <w:rFonts w:cs="Times New Roman" w:ascii="Times New Roman" w:hAnsi="Times New Roman"/>
          <w:sz w:val="26"/>
          <w:szCs w:val="26"/>
          <w:lang w:val="uk-UA"/>
        </w:rPr>
        <w:t xml:space="preserve">Онікієнко Тетяні Сергіївні </w:t>
      </w:r>
      <w:r>
        <w:rPr>
          <w:rFonts w:cs="Times New Roman" w:ascii="Times New Roman" w:hAnsi="Times New Roman"/>
          <w:bCs/>
          <w:sz w:val="26"/>
          <w:szCs w:val="26"/>
          <w:lang w:val="uk-UA"/>
        </w:rPr>
        <w:t xml:space="preserve">термін користування місцем розміщення тимчасової споруди – торговельного павільйону (ТС) для провадження підприємницької діяльності в районі житлового будинку №27 </w:t>
      </w:r>
      <w:r>
        <w:rPr>
          <w:rFonts w:cs="Times New Roman" w:ascii="Times New Roman" w:hAnsi="Times New Roman"/>
          <w:sz w:val="26"/>
          <w:szCs w:val="26"/>
          <w:lang w:val="uk-UA"/>
        </w:rPr>
        <w:t>по вул. Чайкіної Лізи</w:t>
      </w:r>
      <w:r>
        <w:rPr>
          <w:rFonts w:cs="Times New Roman" w:ascii="Times New Roman" w:hAnsi="Times New Roman"/>
          <w:bCs/>
          <w:sz w:val="26"/>
          <w:szCs w:val="26"/>
          <w:lang w:val="uk-UA"/>
        </w:rPr>
        <w:t xml:space="preserve"> до 01.11.2022.</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Фізичній особі-підприємцю Онікієнко Т.С.</w:t>
      </w:r>
      <w:r>
        <w:rPr>
          <w:rFonts w:cs="Times New Roman" w:ascii="Times New Roman" w:hAnsi="Times New Roman"/>
          <w:bCs/>
          <w:sz w:val="26"/>
          <w:szCs w:val="26"/>
          <w:lang w:val="uk-UA" w:eastAsia="ar-SA"/>
        </w:rPr>
        <w:t xml:space="preserve"> в термін до 10.11.2020: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на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Онікієнко Т.С.</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та договору про користування місцем розташування тимчасової споруди, така тимчасова споруда підлягає демонтажу.</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Міський голова</w:t>
        <w:tab/>
        <w:tab/>
        <w:tab/>
        <w:tab/>
        <w:tab/>
        <w:tab/>
        <w:tab/>
        <w:tab/>
        <w:t>О.М. Шаповал</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 рішення № 445 від 28.10.</w:t>
      </w:r>
      <w:bookmarkStart w:id="0" w:name="_GoBack"/>
      <w:bookmarkEnd w:id="0"/>
      <w:r>
        <w:rPr>
          <w:rFonts w:eastAsia="Times New Roman" w:cs="Times New Roman" w:ascii="Times New Roman" w:hAnsi="Times New Roman"/>
          <w:sz w:val="23"/>
          <w:szCs w:val="23"/>
          <w:lang w:val="uk-UA" w:eastAsia="ru-RU"/>
        </w:rPr>
        <w:t>2020</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pPr>
      <w:r>
        <w:rPr>
          <w:rFonts w:eastAsia="Times New Roman" w:cs="Times New Roman" w:ascii="Times New Roman" w:hAnsi="Times New Roman"/>
          <w:sz w:val="23"/>
          <w:szCs w:val="23"/>
          <w:lang w:val="uk-UA" w:eastAsia="ru-RU"/>
        </w:rPr>
        <w:t xml:space="preserve">М.П. </w:t>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Application>LibreOffice/6.1.4.2$Windows_x86 LibreOffice_project/9d0f32d1f0b509096fd65e0d4bec26ddd1938fd3</Application>
  <Pages>4</Pages>
  <Words>1591</Words>
  <Characters>11004</Characters>
  <CharactersWithSpaces>12990</CharactersWithSpaces>
  <Paragraphs>100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2020-06-10T11:25:00Z</dcterms:created>
  <dc:creator>digital_PC</dc:creator>
  <dc:description/>
  <dc:language>uk-UA</dc:language>
  <cp:lastModifiedBy/>
  <cp:lastPrinted>2020-07-23T07:14:00Z</cp:lastPrinted>
  <dcterms:modified xsi:type="dcterms:W3CDTF">2020-10-30T15:42:44Z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