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2938145</wp:posOffset>
            </wp:positionH>
            <wp:positionV relativeFrom="paragraph">
              <wp:posOffset>-65405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22.04.2020 р.                                      м.Покров                                                №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170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надання малолітньому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статусу дитини позбавленої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батьківського піклування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 первинному обліку служби у справах дітей виконавчого комітету Покровської міської ради перебуває малолітній ХХХХ ХХХХ ХХХХ, хх.хх.хххх року народження, який залишився без батьківського піклування.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За рішенням Орджонікідзевського міського суду Дніпропетровської області від 17.02.2020 р. №184/2546/19, матір дитини, гр.ХХХХ, хх.хх.хххх року народження позбавлено батьківських прав.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Враховуючи вищевикладене, керуючись інтересами дитини,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uk-UA" w:eastAsia="ru-RU" w:bidi="ar-SA"/>
        </w:rPr>
      </w:r>
    </w:p>
    <w:p>
      <w:pPr>
        <w:pStyle w:val="Normal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1.Надати малолітньому ХХХХ ХХХХ ХХХХ, хх.хх.хххх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2.Службі у справах дітей вирішити питання про подальше влаштування малолітнього ХХХХ ХХХХ ХХХХ, хх.хх.хххх 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3.Координацію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10" w:top="102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 xml:space="preserve">КОПІЯ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Application>LibreOffice/6.1.4.2$Windows_x86 LibreOffice_project/9d0f32d1f0b509096fd65e0d4bec26ddd1938fd3</Application>
  <Pages>1</Pages>
  <Words>202</Words>
  <Characters>1432</Characters>
  <CharactersWithSpaces>1744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2020-04-23T09:32:20Z</cp:lastPrinted>
  <dcterms:modified xsi:type="dcterms:W3CDTF">2020-04-27T16:45:18Z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