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5328920</wp:posOffset>
                </wp:positionH>
                <wp:positionV relativeFrom="paragraph">
                  <wp:posOffset>-367030</wp:posOffset>
                </wp:positionV>
                <wp:extent cx="90614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4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9.6pt;margin-top:-28.9pt;width:71.2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2844800</wp:posOffset>
            </wp:positionH>
            <wp:positionV relativeFrom="paragraph">
              <wp:posOffset>-457200</wp:posOffset>
            </wp:positionV>
            <wp:extent cx="417195" cy="59753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23.09.2020р.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</w:t>
      </w:r>
      <w:r>
        <w:rPr>
          <w:rStyle w:val="Style15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ru-RU" w:eastAsia="ru-RU" w:bidi="ar-SA"/>
        </w:rPr>
        <w:t xml:space="preserve">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381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надання дозволу на видачу свідоцтва про право власності на 1/2 частку в спільному майні колишнього подружжя та відчуження всієї належної частки квартири на ім'я колишньої дружини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 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який проживає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Заявник діє на підставі довіреності від 01.09.2020 р. № 359, наданої йому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та  просить від його імені надати дозвіл на видачу свідоцтва про право власності на 1/2 частку квартири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 спільному майні колишнього подружжя на ім'я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ХХХХ,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та відчуження всієї належної йому частки квартири за вищевказаною адресою на ім'я колишньої дружини,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народження. За даною адресою зареєстрований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права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ого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при укладанні вищезазначеного 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порушені не будуть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suppressAutoHyphens w:val="true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підпунктом 16 пункту «б» ст. 34, статтями 40, 59 Закону України «Про місцеве самоврядування в Україні», Законом України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eastAsia="ru-RU" w:bidi="ar-SA"/>
        </w:rPr>
        <w:t xml:space="preserve">Про нотаріат” зі змінами,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ст.17 Закону України «Про охорону дитинства»,  ст.176 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1.Надати дозвіл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який діє на підставі довіреності від 01.09.2020 р. № 359, наданої 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на видачу свідоцтва про право власності на 1/2 частку квартири за адресою: Дніпропетровська обл., м.Покров, вул.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 спільному майні колишнього подружжя на ім'я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та відчуження всієї належної йому частки квартири за вищевказаною адресою на ім'я колишньої дружини,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 виконавчого комітету Покровської міської ради Дніпропетровської області.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службу у справах 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Заступник міського голови</w:t>
      </w:r>
    </w:p>
    <w:p>
      <w:pPr>
        <w:pStyle w:val="Normal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 Н.О. Бондаренко</w:t>
      </w:r>
    </w:p>
    <w:p>
      <w:pPr>
        <w:pStyle w:val="Normal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Заступник міського голови</w:t>
      </w:r>
    </w:p>
    <w:p>
      <w:pPr>
        <w:pStyle w:val="Normal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 А.С. Маглиш</w:t>
      </w:r>
    </w:p>
    <w:p>
      <w:pPr>
        <w:pStyle w:val="Normal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відділу з питань </w:t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апобігання та протидії корупції</w:t>
      </w:r>
    </w:p>
    <w:p>
      <w:pPr>
        <w:pStyle w:val="Normal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 Т.А. Горчакова</w:t>
      </w:r>
    </w:p>
    <w:p>
      <w:pPr>
        <w:pStyle w:val="Normal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загального відділу</w:t>
      </w:r>
    </w:p>
    <w:p>
      <w:pPr>
        <w:pStyle w:val="Normal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 В.С. Агапова</w:t>
      </w:r>
    </w:p>
    <w:p>
      <w:pPr>
        <w:pStyle w:val="Normal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служби у справах дітей</w:t>
      </w:r>
    </w:p>
    <w:p>
      <w:pPr>
        <w:pStyle w:val="Normal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 Д.В. Горчакова</w:t>
      </w:r>
    </w:p>
    <w:p>
      <w:pPr>
        <w:pStyle w:val="Normal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Головний спеціаліст </w:t>
      </w:r>
    </w:p>
    <w:p>
      <w:pPr>
        <w:pStyle w:val="Normal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служби у справах дітей</w:t>
      </w:r>
    </w:p>
    <w:p>
      <w:pPr>
        <w:pStyle w:val="Normal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 Я.В. Федько</w:t>
      </w:r>
    </w:p>
    <w:p>
      <w:pPr>
        <w:pStyle w:val="Normal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7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4">
    <w:name w:val="Обычный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>
    <w:name w:val="Основной текст 21"/>
    <w:basedOn w:val="Normal"/>
    <w:qFormat/>
    <w:pPr>
      <w:ind w:firstLine="720"/>
      <w:jc w:val="center"/>
    </w:pPr>
    <w:rPr/>
  </w:style>
  <w:style w:type="paragraph" w:styleId="Style25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Style25"/>
    <w:pPr>
      <w:suppressLineNumbers/>
    </w:pPr>
    <w:rPr/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LibreOffice/6.1.4.2$Windows_x86 LibreOffice_project/9d0f32d1f0b509096fd65e0d4bec26ddd1938fd3</Application>
  <Pages>3</Pages>
  <Words>403</Words>
  <Characters>2614</Characters>
  <CharactersWithSpaces>3297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2020-09-17T11:14:12Z</cp:lastPrinted>
  <dcterms:modified xsi:type="dcterms:W3CDTF">2020-10-01T17:07:36Z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