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5157470</wp:posOffset>
                </wp:positionH>
                <wp:positionV relativeFrom="paragraph">
                  <wp:posOffset>-264795</wp:posOffset>
                </wp:positionV>
                <wp:extent cx="1001395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06.1pt;margin-top:-20.85pt;width:78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26.02.2020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м.Покров                                                  №61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дарування 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зареєстрована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ця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ть надати дозвіл на укладання договору дарування квартири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своєї доньки, 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ої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Батько дитини,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не заперечує проти укладання вищевказаного договору на користь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своєї доньки.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ст.177 Сімейного кодексу України, підпунктом 16 пункту «б» ст. 34, статтями 40, 59 Закону України «Про місцеве самоврядування в Україні»,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дарування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  <w:bookmarkStart w:id="0" w:name="_GoBack"/>
      <w:bookmarkStart w:id="1" w:name="_GoBack"/>
      <w:bookmarkEnd w:id="1"/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Style16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LibreOffice/6.0.7.3$Linux_X86_64 LibreOffice_project/00m0$Build-3</Application>
  <Pages>2</Pages>
  <Words>212</Words>
  <Characters>1419</Characters>
  <CharactersWithSpaces>1748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ru-RU</dc:language>
  <cp:lastModifiedBy/>
  <cp:lastPrinted>2020-02-20T12:06:00Z</cp:lastPrinted>
  <dcterms:modified xsi:type="dcterms:W3CDTF">2020-02-27T15:09:21Z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