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CD66" w14:textId="77777777" w:rsidR="00280BA6" w:rsidRDefault="00280BA6" w:rsidP="00680EB7">
      <w:pPr>
        <w:shd w:val="clear" w:color="auto" w:fill="FFFFFF"/>
        <w:spacing w:after="0" w:line="240" w:lineRule="auto"/>
        <w:rPr>
          <w:rFonts w:eastAsia="Times New Roman" w:cstheme="minorHAnsi"/>
          <w:color w:val="1D1D1B"/>
          <w:sz w:val="26"/>
          <w:szCs w:val="26"/>
          <w:lang w:val="uk-UA" w:eastAsia="ru-RU"/>
        </w:rPr>
      </w:pPr>
      <w:r>
        <w:rPr>
          <w:noProof/>
        </w:rPr>
        <w:drawing>
          <wp:inline distT="0" distB="0" distL="0" distR="0" wp14:anchorId="076BDBC7" wp14:editId="67E535E7">
            <wp:extent cx="5623560" cy="2202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A900" w14:textId="77777777" w:rsidR="00280BA6" w:rsidRDefault="00280BA6" w:rsidP="00680EB7">
      <w:pPr>
        <w:shd w:val="clear" w:color="auto" w:fill="FFFFFF"/>
        <w:spacing w:after="0" w:line="240" w:lineRule="auto"/>
        <w:rPr>
          <w:rFonts w:eastAsia="Times New Roman" w:cstheme="minorHAnsi"/>
          <w:color w:val="1D1D1B"/>
          <w:sz w:val="26"/>
          <w:szCs w:val="26"/>
          <w:lang w:val="uk-UA" w:eastAsia="ru-RU"/>
        </w:rPr>
      </w:pPr>
    </w:p>
    <w:p w14:paraId="488BE6A1" w14:textId="77777777" w:rsidR="007E76D8" w:rsidRDefault="004244CD" w:rsidP="003503D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1D1B"/>
          <w:sz w:val="24"/>
          <w:szCs w:val="24"/>
          <w:lang w:val="uk-UA" w:eastAsia="ru-RU"/>
        </w:rPr>
      </w:pPr>
      <w:r>
        <w:rPr>
          <w:rFonts w:eastAsia="Times New Roman" w:cstheme="minorHAnsi"/>
          <w:color w:val="1D1D1B"/>
          <w:sz w:val="26"/>
          <w:szCs w:val="26"/>
          <w:lang w:val="uk-UA" w:eastAsia="ru-RU"/>
        </w:rPr>
        <w:tab/>
      </w:r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>Міністерство розвитку громад та територій України спільно з ГО «ЛУН Місто» презентували практичний посібник «Як забезпечити доступність будівель і споруд для маломобільних груп населення? 10 простих кроків».</w:t>
      </w:r>
    </w:p>
    <w:p w14:paraId="18D1188E" w14:textId="7E5AEE60" w:rsidR="00280BA6" w:rsidRDefault="008E4225" w:rsidP="007E76D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1D1B"/>
          <w:sz w:val="24"/>
          <w:szCs w:val="24"/>
          <w:lang w:val="uk-UA" w:eastAsia="ru-RU"/>
        </w:rPr>
      </w:pPr>
      <w:r w:rsidRPr="007E76D8">
        <w:rPr>
          <w:rFonts w:eastAsia="Times New Roman" w:cstheme="minorHAnsi"/>
          <w:color w:val="1D1D1B"/>
          <w:sz w:val="24"/>
          <w:szCs w:val="24"/>
          <w:lang w:val="uk-UA" w:eastAsia="ru-RU"/>
        </w:rPr>
        <w:tab/>
      </w:r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 xml:space="preserve">Посібник розроблено в межах інформаційно-просвітницької кампанії «Держава без бар’єрів» та презентовано </w:t>
      </w:r>
      <w:r w:rsidR="00280BA6" w:rsidRPr="007E76D8">
        <w:rPr>
          <w:rFonts w:eastAsia="Times New Roman" w:cstheme="minorHAnsi"/>
          <w:color w:val="1D1D1B"/>
          <w:sz w:val="24"/>
          <w:szCs w:val="24"/>
          <w:lang w:val="uk-UA" w:eastAsia="ru-RU"/>
        </w:rPr>
        <w:t xml:space="preserve">на </w:t>
      </w:r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 xml:space="preserve"> засіданн</w:t>
      </w:r>
      <w:r w:rsidR="00280BA6" w:rsidRPr="007E76D8">
        <w:rPr>
          <w:rFonts w:eastAsia="Times New Roman" w:cstheme="minorHAnsi"/>
          <w:color w:val="1D1D1B"/>
          <w:sz w:val="24"/>
          <w:szCs w:val="24"/>
          <w:lang w:val="uk-UA" w:eastAsia="ru-RU"/>
        </w:rPr>
        <w:t>і</w:t>
      </w:r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 xml:space="preserve"> Національної ради </w:t>
      </w:r>
      <w:proofErr w:type="spellStart"/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>безбар’єрності</w:t>
      </w:r>
      <w:proofErr w:type="spellEnd"/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 xml:space="preserve"> </w:t>
      </w:r>
      <w:r w:rsidR="00280BA6" w:rsidRPr="007E76D8">
        <w:rPr>
          <w:rFonts w:eastAsia="Times New Roman" w:cstheme="minorHAnsi"/>
          <w:color w:val="1D1D1B"/>
          <w:sz w:val="24"/>
          <w:szCs w:val="24"/>
          <w:lang w:val="uk-UA" w:eastAsia="ru-RU"/>
        </w:rPr>
        <w:t xml:space="preserve"> під головуванням Прем’єр-міністра України Юлії Свириденко.</w:t>
      </w:r>
    </w:p>
    <w:p w14:paraId="5967157F" w14:textId="77777777" w:rsidR="007E76D8" w:rsidRDefault="004244CD" w:rsidP="007E76D8">
      <w:pPr>
        <w:shd w:val="clear" w:color="auto" w:fill="FFFFFF"/>
        <w:spacing w:after="0" w:line="240" w:lineRule="auto"/>
        <w:rPr>
          <w:rFonts w:eastAsia="Times New Roman" w:cstheme="minorHAnsi"/>
          <w:color w:val="1D1D1B"/>
          <w:sz w:val="24"/>
          <w:szCs w:val="24"/>
          <w:lang w:val="uk-UA" w:eastAsia="ru-RU"/>
        </w:rPr>
      </w:pPr>
      <w:r w:rsidRPr="007E76D8">
        <w:rPr>
          <w:rFonts w:eastAsia="Times New Roman" w:cstheme="minorHAnsi"/>
          <w:color w:val="1D1D1B"/>
          <w:sz w:val="24"/>
          <w:szCs w:val="24"/>
          <w:lang w:val="uk-UA" w:eastAsia="ru-RU"/>
        </w:rPr>
        <w:tab/>
      </w:r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>Його мета — надати громадам, бізнесу і всім, хто працює над формуванням доступного середовища, простий і практичний інструмент для впровадження базових принципів фізичної доступності будівель і споруд.</w:t>
      </w:r>
    </w:p>
    <w:p w14:paraId="7F35DA89" w14:textId="0177CFDE" w:rsidR="00680EB7" w:rsidRPr="00680EB7" w:rsidRDefault="004244CD" w:rsidP="003503D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1D1B"/>
          <w:sz w:val="24"/>
          <w:szCs w:val="24"/>
          <w:lang w:val="uk-UA" w:eastAsia="ru-RU"/>
        </w:rPr>
      </w:pPr>
      <w:r w:rsidRPr="007E76D8">
        <w:rPr>
          <w:rFonts w:eastAsia="Times New Roman" w:cstheme="minorHAnsi"/>
          <w:color w:val="1D1D1B"/>
          <w:sz w:val="24"/>
          <w:szCs w:val="24"/>
          <w:lang w:val="uk-UA" w:eastAsia="ru-RU"/>
        </w:rPr>
        <w:tab/>
      </w:r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 xml:space="preserve">Матеріал створено на основі чинних державних будівельних норм із урахуванням сучасних вимог до </w:t>
      </w:r>
      <w:proofErr w:type="spellStart"/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>інклюзивності</w:t>
      </w:r>
      <w:proofErr w:type="spellEnd"/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 xml:space="preserve">. Основний акцент зроблено на простих, зрозумілих та практичних рішеннях, які можуть бути застосовані під час </w:t>
      </w:r>
      <w:proofErr w:type="spellStart"/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>проєктування</w:t>
      </w:r>
      <w:proofErr w:type="spellEnd"/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 xml:space="preserve">, реконструкції або адаптації </w:t>
      </w:r>
      <w:r w:rsidR="00280BA6" w:rsidRPr="007E76D8">
        <w:rPr>
          <w:rFonts w:eastAsia="Times New Roman" w:cstheme="minorHAnsi"/>
          <w:color w:val="1D1D1B"/>
          <w:sz w:val="24"/>
          <w:szCs w:val="24"/>
          <w:lang w:val="uk-UA" w:eastAsia="ru-RU"/>
        </w:rPr>
        <w:t xml:space="preserve">об’єктів та </w:t>
      </w:r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>просторів.</w:t>
      </w:r>
    </w:p>
    <w:p w14:paraId="2E8BF6B0" w14:textId="6325CEFF" w:rsidR="00680EB7" w:rsidRPr="00680EB7" w:rsidRDefault="004244CD" w:rsidP="007E76D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1D1B"/>
          <w:sz w:val="24"/>
          <w:szCs w:val="24"/>
          <w:lang w:val="uk-UA" w:eastAsia="ru-RU"/>
        </w:rPr>
      </w:pPr>
      <w:r w:rsidRPr="007E76D8">
        <w:rPr>
          <w:rFonts w:eastAsia="Times New Roman" w:cstheme="minorHAnsi"/>
          <w:color w:val="1D1D1B"/>
          <w:sz w:val="24"/>
          <w:szCs w:val="24"/>
          <w:lang w:val="uk-UA" w:eastAsia="ru-RU"/>
        </w:rPr>
        <w:tab/>
      </w:r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 xml:space="preserve">Посібник охоплює ключові елементи фізичної доступності — від шляхів руху до будівлі та </w:t>
      </w:r>
      <w:proofErr w:type="spellStart"/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>безбар’єрного</w:t>
      </w:r>
      <w:proofErr w:type="spellEnd"/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 xml:space="preserve"> входу до внутрішнього простору, навігації, безпечного пересування та облаштування приміщень. Його головна цінність — у практичному підході: складні нормативні вимоги подані простою та зрозумілою мовою, що дозволяє використовувати матеріал як базовий орієнтир для власників і управителів об’єктів.</w:t>
      </w:r>
    </w:p>
    <w:p w14:paraId="4A837DDA" w14:textId="5CBF1D65" w:rsidR="00680EB7" w:rsidRPr="007E76D8" w:rsidRDefault="004244CD" w:rsidP="007E76D8">
      <w:pPr>
        <w:pStyle w:val="a6"/>
        <w:jc w:val="both"/>
        <w:rPr>
          <w:rFonts w:cstheme="minorHAnsi"/>
          <w:sz w:val="24"/>
          <w:szCs w:val="24"/>
          <w:lang w:val="uk-UA" w:eastAsia="ru-RU"/>
        </w:rPr>
      </w:pPr>
      <w:r w:rsidRPr="007E76D8">
        <w:rPr>
          <w:rFonts w:cstheme="minorHAnsi"/>
          <w:sz w:val="24"/>
          <w:szCs w:val="24"/>
          <w:lang w:val="uk-UA" w:eastAsia="ru-RU"/>
        </w:rPr>
        <w:tab/>
      </w:r>
      <w:r w:rsidR="00680EB7" w:rsidRPr="007E76D8">
        <w:rPr>
          <w:rFonts w:cstheme="minorHAnsi"/>
          <w:sz w:val="24"/>
          <w:szCs w:val="24"/>
          <w:lang w:val="uk-UA" w:eastAsia="ru-RU"/>
        </w:rPr>
        <w:t>Посібник містить 10 практичних кроків:</w:t>
      </w:r>
    </w:p>
    <w:p w14:paraId="317FEBB6" w14:textId="77777777" w:rsidR="00680EB7" w:rsidRPr="007E76D8" w:rsidRDefault="00680EB7" w:rsidP="007E76D8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  <w:lang w:val="uk-UA" w:eastAsia="ru-RU"/>
        </w:rPr>
      </w:pPr>
      <w:r w:rsidRPr="007E76D8">
        <w:rPr>
          <w:rFonts w:cstheme="minorHAnsi"/>
          <w:sz w:val="24"/>
          <w:szCs w:val="24"/>
          <w:lang w:val="uk-UA" w:eastAsia="ru-RU"/>
        </w:rPr>
        <w:t>забезпечення доступності шляхів руху до будівлі;</w:t>
      </w:r>
    </w:p>
    <w:p w14:paraId="138284F4" w14:textId="77777777" w:rsidR="00680EB7" w:rsidRPr="007E76D8" w:rsidRDefault="00680EB7" w:rsidP="007E76D8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  <w:lang w:val="uk-UA" w:eastAsia="ru-RU"/>
        </w:rPr>
      </w:pPr>
      <w:r w:rsidRPr="007E76D8">
        <w:rPr>
          <w:rFonts w:cstheme="minorHAnsi"/>
          <w:sz w:val="24"/>
          <w:szCs w:val="24"/>
          <w:lang w:val="uk-UA" w:eastAsia="ru-RU"/>
        </w:rPr>
        <w:t>облаштування доступних пішохідних доріжок;</w:t>
      </w:r>
    </w:p>
    <w:p w14:paraId="11334455" w14:textId="77777777" w:rsidR="00680EB7" w:rsidRPr="007E76D8" w:rsidRDefault="00680EB7" w:rsidP="007E76D8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  <w:lang w:val="uk-UA" w:eastAsia="ru-RU"/>
        </w:rPr>
      </w:pPr>
      <w:r w:rsidRPr="007E76D8">
        <w:rPr>
          <w:rFonts w:cstheme="minorHAnsi"/>
          <w:sz w:val="24"/>
          <w:szCs w:val="24"/>
          <w:lang w:val="uk-UA" w:eastAsia="ru-RU"/>
        </w:rPr>
        <w:t xml:space="preserve">створення </w:t>
      </w:r>
      <w:proofErr w:type="spellStart"/>
      <w:r w:rsidRPr="007E76D8">
        <w:rPr>
          <w:rFonts w:cstheme="minorHAnsi"/>
          <w:sz w:val="24"/>
          <w:szCs w:val="24"/>
          <w:lang w:val="uk-UA" w:eastAsia="ru-RU"/>
        </w:rPr>
        <w:t>паркувальних</w:t>
      </w:r>
      <w:proofErr w:type="spellEnd"/>
      <w:r w:rsidRPr="007E76D8">
        <w:rPr>
          <w:rFonts w:cstheme="minorHAnsi"/>
          <w:sz w:val="24"/>
          <w:szCs w:val="24"/>
          <w:lang w:val="uk-UA" w:eastAsia="ru-RU"/>
        </w:rPr>
        <w:t xml:space="preserve"> місць для людей з інвалідністю;</w:t>
      </w:r>
    </w:p>
    <w:p w14:paraId="76D1337D" w14:textId="77777777" w:rsidR="00680EB7" w:rsidRPr="007E76D8" w:rsidRDefault="00680EB7" w:rsidP="007E76D8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  <w:lang w:val="uk-UA" w:eastAsia="ru-RU"/>
        </w:rPr>
      </w:pPr>
      <w:r w:rsidRPr="007E76D8">
        <w:rPr>
          <w:rFonts w:cstheme="minorHAnsi"/>
          <w:sz w:val="24"/>
          <w:szCs w:val="24"/>
          <w:lang w:val="uk-UA" w:eastAsia="ru-RU"/>
        </w:rPr>
        <w:t xml:space="preserve">облаштування </w:t>
      </w:r>
      <w:proofErr w:type="spellStart"/>
      <w:r w:rsidRPr="007E76D8">
        <w:rPr>
          <w:rFonts w:cstheme="minorHAnsi"/>
          <w:sz w:val="24"/>
          <w:szCs w:val="24"/>
          <w:lang w:val="uk-UA" w:eastAsia="ru-RU"/>
        </w:rPr>
        <w:t>безбар’єрного</w:t>
      </w:r>
      <w:proofErr w:type="spellEnd"/>
      <w:r w:rsidRPr="007E76D8">
        <w:rPr>
          <w:rFonts w:cstheme="minorHAnsi"/>
          <w:sz w:val="24"/>
          <w:szCs w:val="24"/>
          <w:lang w:val="uk-UA" w:eastAsia="ru-RU"/>
        </w:rPr>
        <w:t xml:space="preserve"> входу до будівлі;</w:t>
      </w:r>
    </w:p>
    <w:p w14:paraId="52B12E9B" w14:textId="77777777" w:rsidR="00680EB7" w:rsidRPr="007E76D8" w:rsidRDefault="00680EB7" w:rsidP="007E76D8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  <w:lang w:val="uk-UA" w:eastAsia="ru-RU"/>
        </w:rPr>
      </w:pPr>
      <w:r w:rsidRPr="007E76D8">
        <w:rPr>
          <w:rFonts w:cstheme="minorHAnsi"/>
          <w:sz w:val="24"/>
          <w:szCs w:val="24"/>
          <w:lang w:val="uk-UA" w:eastAsia="ru-RU"/>
        </w:rPr>
        <w:t>адаптація сходів;</w:t>
      </w:r>
    </w:p>
    <w:p w14:paraId="7255D53C" w14:textId="77777777" w:rsidR="00680EB7" w:rsidRPr="007E76D8" w:rsidRDefault="00680EB7" w:rsidP="007E76D8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  <w:lang w:val="uk-UA" w:eastAsia="ru-RU"/>
        </w:rPr>
      </w:pPr>
      <w:r w:rsidRPr="007E76D8">
        <w:rPr>
          <w:rFonts w:cstheme="minorHAnsi"/>
          <w:sz w:val="24"/>
          <w:szCs w:val="24"/>
          <w:lang w:val="uk-UA" w:eastAsia="ru-RU"/>
        </w:rPr>
        <w:t>встановлення доступних дверей;</w:t>
      </w:r>
    </w:p>
    <w:p w14:paraId="61E25256" w14:textId="77777777" w:rsidR="00680EB7" w:rsidRPr="007E76D8" w:rsidRDefault="00680EB7" w:rsidP="007E76D8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  <w:lang w:val="uk-UA" w:eastAsia="ru-RU"/>
        </w:rPr>
      </w:pPr>
      <w:r w:rsidRPr="007E76D8">
        <w:rPr>
          <w:rFonts w:cstheme="minorHAnsi"/>
          <w:sz w:val="24"/>
          <w:szCs w:val="24"/>
          <w:lang w:val="uk-UA" w:eastAsia="ru-RU"/>
        </w:rPr>
        <w:t>організація безпечних шляхів руху всередині будівлі;</w:t>
      </w:r>
    </w:p>
    <w:p w14:paraId="427D8AAE" w14:textId="77777777" w:rsidR="00680EB7" w:rsidRPr="007E76D8" w:rsidRDefault="00680EB7" w:rsidP="007E76D8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  <w:lang w:val="uk-UA" w:eastAsia="ru-RU"/>
        </w:rPr>
      </w:pPr>
      <w:r w:rsidRPr="007E76D8">
        <w:rPr>
          <w:rFonts w:cstheme="minorHAnsi"/>
          <w:sz w:val="24"/>
          <w:szCs w:val="24"/>
          <w:lang w:val="uk-UA" w:eastAsia="ru-RU"/>
        </w:rPr>
        <w:t>впровадження тактильної та візуальної навігації;</w:t>
      </w:r>
    </w:p>
    <w:p w14:paraId="653DFC17" w14:textId="77777777" w:rsidR="00680EB7" w:rsidRPr="007E76D8" w:rsidRDefault="00680EB7" w:rsidP="007E76D8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  <w:lang w:val="uk-UA" w:eastAsia="ru-RU"/>
        </w:rPr>
      </w:pPr>
      <w:r w:rsidRPr="007E76D8">
        <w:rPr>
          <w:rFonts w:cstheme="minorHAnsi"/>
          <w:sz w:val="24"/>
          <w:szCs w:val="24"/>
          <w:lang w:val="uk-UA" w:eastAsia="ru-RU"/>
        </w:rPr>
        <w:t>облаштування доступних приміщень для надання послуг;</w:t>
      </w:r>
    </w:p>
    <w:p w14:paraId="7850536E" w14:textId="7726CED9" w:rsidR="00680EB7" w:rsidRPr="007E76D8" w:rsidRDefault="00680EB7" w:rsidP="007E76D8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  <w:lang w:val="uk-UA" w:eastAsia="ru-RU"/>
        </w:rPr>
      </w:pPr>
      <w:r w:rsidRPr="007E76D8">
        <w:rPr>
          <w:rFonts w:cstheme="minorHAnsi"/>
          <w:sz w:val="24"/>
          <w:szCs w:val="24"/>
          <w:lang w:val="uk-UA" w:eastAsia="ru-RU"/>
        </w:rPr>
        <w:t>створення санітарно-гігієнічних приміщень для МГН.</w:t>
      </w:r>
    </w:p>
    <w:p w14:paraId="26DA5F15" w14:textId="77777777" w:rsidR="00680EB7" w:rsidRPr="007E76D8" w:rsidRDefault="00680EB7" w:rsidP="007E76D8">
      <w:pPr>
        <w:pStyle w:val="a6"/>
        <w:jc w:val="both"/>
        <w:rPr>
          <w:rFonts w:cstheme="minorHAnsi"/>
          <w:sz w:val="24"/>
          <w:szCs w:val="24"/>
          <w:lang w:val="uk-UA" w:eastAsia="ru-RU"/>
        </w:rPr>
      </w:pPr>
    </w:p>
    <w:p w14:paraId="03AFDE07" w14:textId="77777777" w:rsidR="00280BA6" w:rsidRPr="007E76D8" w:rsidRDefault="00280BA6" w:rsidP="007E76D8">
      <w:pPr>
        <w:spacing w:line="240" w:lineRule="auto"/>
        <w:jc w:val="both"/>
        <w:rPr>
          <w:rFonts w:eastAsia="Times New Roman" w:cstheme="minorHAnsi"/>
          <w:color w:val="1D1D1B"/>
          <w:sz w:val="24"/>
          <w:szCs w:val="24"/>
          <w:lang w:val="uk-UA" w:eastAsia="ru-RU"/>
        </w:rPr>
      </w:pPr>
      <w:r w:rsidRPr="007E76D8">
        <w:rPr>
          <w:rFonts w:eastAsia="Times New Roman" w:cstheme="minorHAnsi"/>
          <w:color w:val="1D1D1B"/>
          <w:sz w:val="24"/>
          <w:szCs w:val="24"/>
          <w:lang w:val="uk-UA" w:eastAsia="ru-RU"/>
        </w:rPr>
        <w:t>Ознайомитись з посібником можна за  п</w:t>
      </w:r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>осилання</w:t>
      </w:r>
      <w:r w:rsidRPr="007E76D8">
        <w:rPr>
          <w:rFonts w:eastAsia="Times New Roman" w:cstheme="minorHAnsi"/>
          <w:color w:val="1D1D1B"/>
          <w:sz w:val="24"/>
          <w:szCs w:val="24"/>
          <w:lang w:val="uk-UA" w:eastAsia="ru-RU"/>
        </w:rPr>
        <w:t>м</w:t>
      </w:r>
      <w:r w:rsidR="00680EB7" w:rsidRPr="00680EB7">
        <w:rPr>
          <w:rFonts w:eastAsia="Times New Roman" w:cstheme="minorHAnsi"/>
          <w:color w:val="1D1D1B"/>
          <w:sz w:val="24"/>
          <w:szCs w:val="24"/>
          <w:lang w:val="uk-UA" w:eastAsia="ru-RU"/>
        </w:rPr>
        <w:t>: </w:t>
      </w:r>
    </w:p>
    <w:p w14:paraId="3404CD8A" w14:textId="5F51D262" w:rsidR="005C53B1" w:rsidRPr="007E76D8" w:rsidRDefault="000111D9" w:rsidP="007E76D8">
      <w:pPr>
        <w:spacing w:line="240" w:lineRule="auto"/>
        <w:jc w:val="both"/>
        <w:rPr>
          <w:rFonts w:eastAsia="Times New Roman" w:cstheme="minorHAnsi"/>
          <w:color w:val="16406C"/>
          <w:sz w:val="24"/>
          <w:szCs w:val="24"/>
          <w:u w:val="single"/>
          <w:bdr w:val="none" w:sz="0" w:space="0" w:color="auto" w:frame="1"/>
          <w:lang w:val="uk-UA" w:eastAsia="ru-RU"/>
        </w:rPr>
      </w:pPr>
      <w:hyperlink r:id="rId6" w:history="1">
        <w:r w:rsidRPr="00680EB7">
          <w:rPr>
            <w:rStyle w:val="a4"/>
            <w:rFonts w:eastAsia="Times New Roman" w:cstheme="minorHAnsi"/>
            <w:sz w:val="24"/>
            <w:szCs w:val="24"/>
            <w:bdr w:val="none" w:sz="0" w:space="0" w:color="auto" w:frame="1"/>
            <w:lang w:val="uk-UA" w:eastAsia="ru-RU"/>
          </w:rPr>
          <w:t>https://mindev.gov.ua/storage/app/sites/1/uploaded-files/buklet-mdct-fizicna-bezbarjernist-a5-v6.pdf </w:t>
        </w:r>
      </w:hyperlink>
    </w:p>
    <w:p w14:paraId="3A4DBC7D" w14:textId="77777777" w:rsidR="007E76D8" w:rsidRPr="007E76D8" w:rsidRDefault="007E76D8" w:rsidP="007E76D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uk-UA" w:eastAsia="ru-RU"/>
        </w:rPr>
      </w:pPr>
      <w:r w:rsidRPr="007E76D8">
        <w:rPr>
          <w:rFonts w:eastAsia="Times New Roman" w:cstheme="minorHAnsi"/>
          <w:sz w:val="24"/>
          <w:szCs w:val="24"/>
          <w:lang w:val="uk-UA" w:eastAsia="ru-RU"/>
        </w:rPr>
        <w:t xml:space="preserve">Начальник управління праці та </w:t>
      </w:r>
    </w:p>
    <w:p w14:paraId="5344E226" w14:textId="47D6A022" w:rsidR="007E76D8" w:rsidRPr="007E76D8" w:rsidRDefault="007E76D8" w:rsidP="007E76D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uk-UA" w:eastAsia="ru-RU"/>
        </w:rPr>
      </w:pPr>
      <w:r w:rsidRPr="007E76D8">
        <w:rPr>
          <w:rFonts w:eastAsia="Times New Roman" w:cstheme="minorHAnsi"/>
          <w:sz w:val="24"/>
          <w:szCs w:val="24"/>
          <w:lang w:val="uk-UA" w:eastAsia="ru-RU"/>
        </w:rPr>
        <w:t xml:space="preserve">соціального захисту населення                </w:t>
      </w:r>
      <w:r>
        <w:rPr>
          <w:rFonts w:eastAsia="Times New Roman" w:cstheme="minorHAnsi"/>
          <w:sz w:val="24"/>
          <w:szCs w:val="24"/>
          <w:lang w:val="uk-UA" w:eastAsia="ru-RU"/>
        </w:rPr>
        <w:t xml:space="preserve"> </w:t>
      </w:r>
      <w:r w:rsidRPr="007E76D8">
        <w:rPr>
          <w:rFonts w:eastAsia="Times New Roman" w:cstheme="minorHAnsi"/>
          <w:sz w:val="24"/>
          <w:szCs w:val="24"/>
          <w:lang w:val="uk-UA" w:eastAsia="ru-RU"/>
        </w:rPr>
        <w:t xml:space="preserve">                   Тетяна ІГНАТЮК</w:t>
      </w:r>
    </w:p>
    <w:p w14:paraId="6100CFEB" w14:textId="77777777" w:rsidR="007E76D8" w:rsidRPr="007E76D8" w:rsidRDefault="007E76D8">
      <w:pPr>
        <w:rPr>
          <w:rFonts w:cstheme="minorHAnsi"/>
          <w:sz w:val="24"/>
          <w:szCs w:val="24"/>
          <w:lang w:val="uk-UA"/>
        </w:rPr>
      </w:pPr>
    </w:p>
    <w:sectPr w:rsidR="007E76D8" w:rsidRPr="007E76D8" w:rsidSect="007E76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E069E"/>
    <w:multiLevelType w:val="multilevel"/>
    <w:tmpl w:val="2A80C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6D2F79"/>
    <w:multiLevelType w:val="hybridMultilevel"/>
    <w:tmpl w:val="B7609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B7"/>
    <w:rsid w:val="000111D9"/>
    <w:rsid w:val="00280BA6"/>
    <w:rsid w:val="00301E1D"/>
    <w:rsid w:val="003503D7"/>
    <w:rsid w:val="00365451"/>
    <w:rsid w:val="004244CD"/>
    <w:rsid w:val="005C53B1"/>
    <w:rsid w:val="00680EB7"/>
    <w:rsid w:val="006E3172"/>
    <w:rsid w:val="007E76D8"/>
    <w:rsid w:val="008E4225"/>
    <w:rsid w:val="00F2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70D1"/>
  <w15:chartTrackingRefBased/>
  <w15:docId w15:val="{17DDCB76-B474-4378-8309-D6F00480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80EB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280BA6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4244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dev.gov.ua/storage/app/sites/1/uploaded-files/buklet-mdct-fizicna-bezbarjernist-a5-v6.pdf&#160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STRIHA</dc:creator>
  <cp:keywords/>
  <dc:description/>
  <cp:lastModifiedBy>STRIHA</cp:lastModifiedBy>
  <cp:revision>7</cp:revision>
  <dcterms:created xsi:type="dcterms:W3CDTF">2026-06-17T10:45:00Z</dcterms:created>
  <dcterms:modified xsi:type="dcterms:W3CDTF">2026-06-17T11:02:00Z</dcterms:modified>
</cp:coreProperties>
</file>