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07.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10.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10038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743"/>
        <w:gridCol w:w="6195"/>
        <w:gridCol w:w="1526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рішення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Назва рішення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279/06-53-22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Про укладення договору оренди комунального майна з комунальним закладом “Обласний клінічний центр медико-соціальної експертизи” Дніпропетровської обласної ради”. 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280/06-53-22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8"/>
                <w:szCs w:val="28"/>
                <w:u w:val="none"/>
                <w:shd w:fill="FFFFFF" w:val="clear"/>
                <w:lang w:val="uk-UA" w:eastAsia="ru-RU" w:bidi="hi-IN"/>
              </w:rPr>
              <w:t xml:space="preserve">Про затвердження протоколу №4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 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281/06-53-22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Про погодження перетину державного кордону України (ХХХХ).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282/06-53-22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Про погодження перетину державного кордону України (ХХХХ).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283/06-53-22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Про затвердження кошторисної частини проектної документації за робочим проектом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284/06-53-22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Про внесення змін до рішення виконавчого комітету Покровської міської ради Дніпропетровської області від 31.08.2022 №224/06-53-22 “Про встановлення опіки”. 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LibreOffice/7.4.3.2$Windows_X86_64 LibreOffice_project/1048a8393ae2eeec98dff31b5c133c5f1d08b890</Application>
  <AppVersion>15.0000</AppVersion>
  <Pages>1</Pages>
  <Words>172</Words>
  <Characters>1249</Characters>
  <CharactersWithSpaces>1395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2023-04-25T09:54:17Z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