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150" w:after="0"/>
        <w:ind w:right="0" w:hanging="0"/>
        <w:jc w:val="center"/>
        <w:rPr/>
      </w:pPr>
      <w:r>
        <w:rPr>
          <w:rFonts w:ascii="TimesNewRomanPS-BoldMT" w:hAnsi="TimesNewRomanPS-BoldMT"/>
          <w:b/>
          <w:color w:val="353438"/>
          <w:sz w:val="32"/>
        </w:rPr>
        <w:t>РЕЄСТР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NewRomanPS-BoldMT" w:hAnsi="TimesNewRomanPS-BoldMT"/>
          <w:b/>
          <w:color w:val="353438"/>
          <w:sz w:val="32"/>
        </w:rPr>
        <w:t>закупівель, що здійснюються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NewRomanPS-BoldMT" w:hAnsi="TimesNewRomanPS-BoldMT"/>
          <w:b/>
          <w:color w:val="353438"/>
          <w:sz w:val="32"/>
        </w:rPr>
        <w:t xml:space="preserve"> </w:t>
      </w:r>
      <w:r>
        <w:rPr>
          <w:rFonts w:ascii="TimesNewRomanPS-BoldMT" w:hAnsi="TimesNewRomanPS-BoldMT"/>
          <w:b/>
          <w:color w:val="353438"/>
          <w:sz w:val="32"/>
        </w:rPr>
        <w:t xml:space="preserve">без проведення процедур закупівель на 2019 рік </w:t>
      </w:r>
    </w:p>
    <w:p>
      <w:pPr>
        <w:pStyle w:val="Normal"/>
        <w:bidi w:val="0"/>
        <w:ind w:right="0" w:hanging="0"/>
        <w:jc w:val="center"/>
        <w:rPr/>
      </w:pPr>
      <w:r>
        <w:rPr>
          <w:rFonts w:ascii="TimesNewRomanPS-BoldMT" w:hAnsi="TimesNewRomanPS-BoldMT"/>
          <w:b/>
          <w:color w:val="353438"/>
          <w:sz w:val="32"/>
          <w:u w:val="single"/>
        </w:rPr>
        <w:t>Покровського міського центру соціальних служб для сім’ї, дітей та молоді</w:t>
      </w:r>
    </w:p>
    <w:p>
      <w:pPr>
        <w:pStyle w:val="Normal"/>
        <w:bidi w:val="0"/>
        <w:ind w:right="2" w:hanging="0"/>
        <w:jc w:val="center"/>
        <w:rPr/>
      </w:pPr>
      <w:r>
        <w:rPr>
          <w:rFonts w:ascii="Times-Bold" w:hAnsi="Times-Bold"/>
          <w:b/>
          <w:color w:val="auto"/>
          <w:sz w:val="20"/>
          <w:u w:val="none"/>
        </w:rPr>
        <w:t>(найменування замовника)</w:t>
      </w:r>
    </w:p>
    <w:p>
      <w:pPr>
        <w:pStyle w:val="Normal"/>
        <w:bidi w:val="0"/>
        <w:ind w:right="2" w:hanging="0"/>
        <w:jc w:val="center"/>
        <w:rPr>
          <w:rFonts w:ascii="Times-Roman" w:hAnsi="Times-Roman"/>
          <w:b w:val="false"/>
          <w:b w:val="false"/>
          <w:color w:val="auto"/>
          <w:sz w:val="24"/>
          <w:u w:val="none"/>
        </w:rPr>
      </w:pPr>
      <w:r>
        <w:rPr>
          <w:rFonts w:ascii="Times-Roman" w:hAnsi="Times-Roman"/>
          <w:b w:val="false"/>
          <w:color w:val="auto"/>
          <w:sz w:val="24"/>
          <w:u w:val="none"/>
        </w:rPr>
      </w:r>
    </w:p>
    <w:tbl>
      <w:tblPr>
        <w:tblW w:w="8748" w:type="dxa"/>
        <w:jc w:val="left"/>
        <w:tblInd w:w="-108" w:type="dxa"/>
        <w:tblCellMar>
          <w:top w:w="100" w:type="dxa"/>
          <w:left w:w="10" w:type="dxa"/>
          <w:bottom w:w="0" w:type="dxa"/>
          <w:right w:w="10" w:type="dxa"/>
        </w:tblCellMar>
      </w:tblPr>
      <w:tblGrid>
        <w:gridCol w:w="1341"/>
        <w:gridCol w:w="1233"/>
        <w:gridCol w:w="1234"/>
        <w:gridCol w:w="1234"/>
        <w:gridCol w:w="1233"/>
        <w:gridCol w:w="1234"/>
        <w:gridCol w:w="1238"/>
      </w:tblGrid>
      <w:tr>
        <w:trPr/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№</w:t>
            </w:r>
          </w:p>
          <w:p>
            <w:pPr>
              <w:pStyle w:val="Normal"/>
              <w:tabs>
                <w:tab w:val="clear" w:pos="708"/>
              </w:tabs>
              <w:bidi w:val="0"/>
              <w:ind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з/п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0"/>
                <w:u w:val="none"/>
              </w:rPr>
              <w:t>Предмет закупівлі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150"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0"/>
                <w:u w:val="none"/>
              </w:rPr>
              <w:t>Код КЕКВ (для бюджетних коштів)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150"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0"/>
                <w:u w:val="none"/>
              </w:rPr>
              <w:t>Очікувана вартість предмета закупівлі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150" w:right="0" w:hanging="15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0"/>
                <w:u w:val="none"/>
              </w:rPr>
              <w:t>Процедура закупівлі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44"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0"/>
                <w:u w:val="none"/>
              </w:rPr>
              <w:t>Орієнтовний початок проведення процедури закупівлі</w:t>
            </w:r>
          </w:p>
        </w:tc>
        <w:tc>
          <w:tcPr>
            <w:tcW w:w="1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0"/>
                <w:u w:val="none"/>
              </w:rPr>
              <w:t>Джерело</w:t>
            </w:r>
          </w:p>
          <w:p>
            <w:pPr>
              <w:pStyle w:val="Normal"/>
              <w:tabs>
                <w:tab w:val="clear" w:pos="708"/>
              </w:tabs>
              <w:bidi w:val="0"/>
              <w:ind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0"/>
                <w:u w:val="none"/>
              </w:rPr>
              <w:t>фінансування</w:t>
            </w:r>
          </w:p>
        </w:tc>
      </w:tr>
      <w:tr>
        <w:trPr/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3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5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7</w:t>
            </w:r>
          </w:p>
        </w:tc>
      </w:tr>
      <w:tr>
        <w:trPr/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 xml:space="preserve">  </w:t>
            </w: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«30190000-7 Офісне устаткування та приладдя різне»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2210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4200,00 грн. (Чотири тисячі двісті грн. 00 коп.)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процедура електронної закупівлі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лютий-грудень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«22850000-3 Швидкозшивачі та супутнє приладдя»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2210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1500,00 грн. (Одна тисяча п`ятсот грн. 00 коп.)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лютий-грудень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«24910000-6 Клеї»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2210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300,00 грн. 00 коп. (Триста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лютий-грудень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«22810000-1 Паперові чи картонні реєстраційні журнали»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2210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700,00 грн. (Сімсот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лютий-грудень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«22990000-6 Газетний папір, папір ручного виготовлення та інший некрейдований папір або картон для графічних цілей»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2210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600,00 грн. (Шістсот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лютий-грудень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8" w:space="0" w:color="BFBFBF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«18220000-7 Комплекти одягу»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2210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3000,00 грн. 00 коп. (Три тисячі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червень, жовтень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«18530000-3 Подарунки та винагороди»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2210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2000 грн. 00 коп. (Дві тисячі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червень, жовтень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«37520000-9 Іграшки»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2210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2000 грн. 00 коп. (Дві тисячі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червень, грудень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«15840000-8</w:t>
            </w:r>
            <w:r>
              <w:rPr>
                <w:rFonts w:ascii="TimesNewRomanPSMT" w:hAnsi="TimesNewRomanPSMT"/>
                <w:b w:val="false"/>
                <w:color w:val="auto"/>
                <w:sz w:val="24"/>
                <w:u w:val="none"/>
              </w:rPr>
              <w:t xml:space="preserve"> Какао; шоколад та цукрові кондитерські вироби</w:t>
            </w: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2210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9900 грн. 00 коп. (Дев’ять тисяч дев’ятсот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звіт про укладену угоду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грудень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«30120000-6 Фотокопіювальне та поліграфічне обладнання для офсетного друку»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2210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1800,00 (Одна тисяча вісімсот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квітень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11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«50310000-1 Технічне обслуговування і ремонт офісної техніки»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2240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2700 грн. 00 коп. (Дві тисячі сімсотгрн. 00 коп.)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лютий-грудень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«50320000-4 Послуги з ремонту і технічного обслуговування персональних комп’ютерів»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2240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900 грн. 00 коп. (Дев’ятсот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лютий-грудень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 xml:space="preserve">ДК 021:2015 «64210000-1 – послуги телефонного зв’язку та передачі даних» 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2240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3000 грн. 00 коп. (Три тисячі грн. 00 коп.)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січень-грудень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«55310000-6 – послуги з ресторанного обслуговування»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2240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 xml:space="preserve">6400 грн. 00 коп. (Шість тисяч чотириста грн. 00 коп.) 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червень, грудень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15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«09320000-8 – пара, та гаряча вода та пов’язанна продукція»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 xml:space="preserve">(теплова енергія) 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2271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11600 грн. 00 коп. (Одинадцять тисяч шістсот грн. 00 коп.)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звіт про укладену угоду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січень-квітень,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жовтень-грудень</w:t>
            </w:r>
          </w:p>
        </w:tc>
        <w:tc>
          <w:tcPr>
            <w:tcW w:w="12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16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«65110000-7 Розподіл води»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«90430000-0 Послуги з відведення стічних вод»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2272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800 грн. 00 коп. (Вісімсот грн. 00 коп.)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без проведення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січень-грудень</w:t>
            </w:r>
          </w:p>
        </w:tc>
        <w:tc>
          <w:tcPr>
            <w:tcW w:w="12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17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«30230000-0 Комп’ютерне обладнання» (принтер)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3110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6000 грн. 00 коп. (Тридцять дві тисячі грн. 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процедура електронної закупівлі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березень-травень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18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021:2015: 30210000-4 Машини для обробки даних (апаратна частина) (ноутбуки)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3110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26000,00 (Двадцять шість тисяч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процедура електронної закупівлі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березень-травень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19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ДК 021:2015 «39710000-2 Електричне побутові прилади»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3110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8500,00 грн. 00 коп. (Вісім тисяч п’ять грн. 00 коп.)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процедура електронної закупівлі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лютий-березень</w:t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44" w:right="0" w:hanging="0"/>
              <w:jc w:val="center"/>
              <w:rPr>
                <w:rFonts w:ascii="TimesNewRomanPSMT" w:hAnsi="TimesNewRomanPSMT"/>
                <w:b w:val="false"/>
                <w:b w:val="false"/>
                <w:color w:val="auto"/>
                <w:sz w:val="22"/>
                <w:u w:val="none"/>
              </w:rPr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/>
            </w:pPr>
            <w:r>
              <w:rPr>
                <w:rFonts w:ascii="TimesNewRomanPSMT" w:hAnsi="TimesNewRomanPSMT"/>
                <w:b w:val="false"/>
                <w:color w:val="auto"/>
                <w:sz w:val="22"/>
                <w:u w:val="none"/>
              </w:rPr>
              <w:t>міський бюджет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/>
            </w:pPr>
            <w:r>
              <w:rPr>
                <w:rFonts w:ascii="TimesNewRomanPS-BoldMT" w:hAnsi="TimesNewRomanPS-BoldMT"/>
                <w:b/>
                <w:color w:val="auto"/>
                <w:sz w:val="22"/>
                <w:u w:val="none"/>
              </w:rPr>
              <w:t xml:space="preserve">             </w:t>
            </w:r>
            <w:r>
              <w:rPr>
                <w:rFonts w:ascii="TimesNewRomanPS-BoldMT" w:hAnsi="TimesNewRomanPS-BoldMT"/>
                <w:b/>
                <w:color w:val="auto"/>
                <w:sz w:val="22"/>
                <w:u w:val="none"/>
              </w:rPr>
              <w:t>Всього по КЕКВ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>
                <w:rFonts w:ascii="TimesNewRomanPS-BoldMT" w:hAnsi="TimesNewRomanPS-BoldMT"/>
                <w:b/>
                <w:b/>
                <w:color w:val="auto"/>
                <w:sz w:val="22"/>
                <w:u w:val="none"/>
              </w:rPr>
            </w:pPr>
            <w:r>
              <w:rPr>
                <w:rFonts w:ascii="TimesNewRomanPS-BoldMT" w:hAnsi="TimesNewRomanPS-BoldMT"/>
                <w:b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/>
            </w:pPr>
            <w:r>
              <w:rPr>
                <w:rFonts w:ascii="TimesNewRomanPS-BoldMT" w:hAnsi="TimesNewRomanPS-BoldMT"/>
                <w:b/>
                <w:color w:val="auto"/>
                <w:sz w:val="22"/>
                <w:u w:val="none"/>
              </w:rPr>
              <w:t>91900 грн. 00 коп. (Дев`яносто одна тисяча дев`ятсот грн. 00 коп.)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right="0" w:hanging="0"/>
              <w:jc w:val="center"/>
              <w:rPr>
                <w:rFonts w:ascii="TimesNewRomanPS-BoldMT" w:hAnsi="TimesNewRomanPS-BoldMT"/>
                <w:b/>
                <w:b/>
                <w:color w:val="auto"/>
                <w:sz w:val="22"/>
                <w:u w:val="none"/>
              </w:rPr>
            </w:pPr>
            <w:r>
              <w:rPr>
                <w:rFonts w:ascii="TimesNewRomanPS-BoldMT" w:hAnsi="TimesNewRomanPS-BoldMT"/>
                <w:b/>
                <w:color w:val="auto"/>
                <w:sz w:val="22"/>
                <w:u w:val="none"/>
              </w:rPr>
            </w:r>
          </w:p>
        </w:tc>
        <w:tc>
          <w:tcPr>
            <w:tcW w:w="123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left"/>
              <w:rPr>
                <w:rFonts w:ascii="TimesNewRomanPS-BoldMT" w:hAnsi="TimesNewRomanPS-BoldMT"/>
                <w:b/>
                <w:b/>
                <w:color w:val="auto"/>
                <w:sz w:val="22"/>
                <w:u w:val="none"/>
              </w:rPr>
            </w:pPr>
            <w:r>
              <w:rPr>
                <w:rFonts w:ascii="TimesNewRomanPS-BoldMT" w:hAnsi="TimesNewRomanPS-BoldMT"/>
                <w:b/>
                <w:color w:val="auto"/>
                <w:sz w:val="22"/>
                <w:u w:val="none"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tLeast" w:line="120"/>
              <w:ind w:left="150" w:right="0" w:hanging="0"/>
              <w:jc w:val="center"/>
              <w:rPr>
                <w:rFonts w:ascii="TimesNewRomanPS-BoldMT" w:hAnsi="TimesNewRomanPS-BoldMT"/>
                <w:b/>
                <w:b/>
                <w:color w:val="auto"/>
                <w:sz w:val="22"/>
                <w:u w:val="none"/>
              </w:rPr>
            </w:pPr>
            <w:r>
              <w:rPr>
                <w:rFonts w:ascii="TimesNewRomanPS-BoldMT" w:hAnsi="TimesNewRomanPS-BoldMT"/>
                <w:b/>
                <w:color w:val="auto"/>
                <w:sz w:val="22"/>
                <w:u w:val="none"/>
              </w:rPr>
            </w:r>
          </w:p>
        </w:tc>
        <w:tc>
          <w:tcPr>
            <w:tcW w:w="123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jc w:val="left"/>
              <w:rPr>
                <w:rFonts w:ascii="TimesNewRomanPS-BoldMT" w:hAnsi="TimesNewRomanPS-BoldMT"/>
                <w:b/>
                <w:b/>
                <w:color w:val="auto"/>
                <w:sz w:val="22"/>
                <w:u w:val="none"/>
              </w:rPr>
            </w:pPr>
            <w:r>
              <w:rPr>
                <w:rFonts w:ascii="TimesNewRomanPS-BoldMT" w:hAnsi="TimesNewRomanPS-BoldMT"/>
                <w:b/>
                <w:color w:val="auto"/>
                <w:sz w:val="22"/>
                <w:u w:val="none"/>
              </w:rPr>
            </w:r>
          </w:p>
        </w:tc>
      </w:tr>
    </w:tbl>
    <w:p>
      <w:pPr>
        <w:pStyle w:val="Normal"/>
        <w:bidi w:val="0"/>
        <w:ind w:right="0" w:firstLine="450"/>
        <w:jc w:val="both"/>
        <w:rPr>
          <w:rFonts w:ascii="Times-Bold" w:hAnsi="Times-Bold"/>
          <w:b/>
          <w:b/>
          <w:color w:val="auto"/>
          <w:sz w:val="24"/>
          <w:u w:val="none"/>
        </w:rPr>
      </w:pPr>
      <w:r>
        <w:rPr>
          <w:rFonts w:ascii="Times-Bold" w:hAnsi="Times-Bold"/>
          <w:b/>
          <w:color w:val="auto"/>
          <w:sz w:val="24"/>
          <w:u w:val="none"/>
        </w:rPr>
      </w:r>
    </w:p>
    <w:p>
      <w:pPr>
        <w:pStyle w:val="Normal"/>
        <w:bidi w:val="0"/>
        <w:ind w:right="0" w:firstLine="450"/>
        <w:jc w:val="both"/>
        <w:rPr>
          <w:rFonts w:ascii="Times-Roman" w:hAnsi="Times-Roman"/>
          <w:b w:val="false"/>
          <w:b w:val="false"/>
          <w:color w:val="auto"/>
          <w:sz w:val="24"/>
          <w:u w:val="none"/>
        </w:rPr>
      </w:pPr>
      <w:r>
        <w:rPr>
          <w:rFonts w:ascii="Times-Roman" w:hAnsi="Times-Roman"/>
          <w:b w:val="false"/>
          <w:color w:val="auto"/>
          <w:sz w:val="24"/>
          <w:u w:val="none"/>
        </w:rPr>
      </w:r>
    </w:p>
    <w:tbl>
      <w:tblPr>
        <w:tblW w:w="8748" w:type="dxa"/>
        <w:jc w:val="left"/>
        <w:tblInd w:w="-108" w:type="dxa"/>
        <w:tblCellMar>
          <w:top w:w="100" w:type="dxa"/>
          <w:left w:w="10" w:type="dxa"/>
          <w:bottom w:w="0" w:type="dxa"/>
          <w:right w:w="10" w:type="dxa"/>
        </w:tblCellMar>
      </w:tblPr>
      <w:tblGrid>
        <w:gridCol w:w="2987"/>
        <w:gridCol w:w="2880"/>
        <w:gridCol w:w="2881"/>
      </w:tblGrid>
      <w:tr>
        <w:trPr/>
        <w:tc>
          <w:tcPr>
            <w:tcW w:w="29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150" w:after="150"/>
              <w:ind w:right="0" w:hanging="0"/>
              <w:jc w:val="left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Відповідальна особа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right="0" w:hanging="0"/>
              <w:jc w:val="left"/>
              <w:rPr>
                <w:rFonts w:ascii="Times-Roman" w:hAnsi="Times-Roman"/>
                <w:b w:val="false"/>
                <w:b w:val="false"/>
                <w:color w:val="auto"/>
                <w:sz w:val="24"/>
                <w:u w:val="none"/>
              </w:rPr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ind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_____________ </w:t>
            </w:r>
            <w:r>
              <w:rPr>
                <w:rFonts w:ascii="TimesNewRomanPSMT" w:hAnsi="TimesNewRomanPSMT"/>
                <w:b w:val="false"/>
                <w:color w:val="auto"/>
                <w:sz w:val="24"/>
                <w:u w:val="none"/>
              </w:rPr>
              <w:t> </w:t>
            </w:r>
            <w:r>
              <w:rPr>
                <w:rFonts w:ascii="Times-Roman" w:hAnsi="Times-Roman"/>
                <w:b w:val="false"/>
                <w:color w:val="auto"/>
                <w:sz w:val="20"/>
                <w:u w:val="none"/>
              </w:rPr>
              <w:t>(підпис)</w:t>
            </w:r>
          </w:p>
        </w:tc>
        <w:tc>
          <w:tcPr>
            <w:tcW w:w="28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right="0" w:hanging="0"/>
              <w:jc w:val="center"/>
              <w:rPr/>
            </w:pP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_</w:t>
            </w:r>
            <w:r>
              <w:rPr>
                <w:rFonts w:ascii="Times-Roman" w:hAnsi="Times-Roman"/>
                <w:b w:val="false"/>
                <w:color w:val="auto"/>
                <w:sz w:val="24"/>
                <w:u w:val="single"/>
              </w:rPr>
              <w:t>Ю.Ю.Березанська</w:t>
            </w:r>
            <w:r>
              <w:rPr>
                <w:rFonts w:ascii="Times-Roman" w:hAnsi="Times-Roman"/>
                <w:b w:val="false"/>
                <w:color w:val="auto"/>
                <w:sz w:val="24"/>
                <w:u w:val="none"/>
              </w:rPr>
              <w:t>__ </w:t>
            </w:r>
            <w:r>
              <w:rPr>
                <w:rFonts w:ascii="TimesNewRomanPSMT" w:hAnsi="TimesNewRomanPSMT"/>
                <w:b w:val="false"/>
                <w:color w:val="auto"/>
                <w:sz w:val="24"/>
                <w:u w:val="none"/>
              </w:rPr>
              <w:t> </w:t>
            </w:r>
            <w:r>
              <w:rPr>
                <w:rFonts w:ascii="Times-Roman" w:hAnsi="Times-Roman"/>
                <w:b w:val="false"/>
                <w:color w:val="auto"/>
                <w:sz w:val="20"/>
                <w:u w:val="none"/>
              </w:rPr>
              <w:t>(ініціали та прізвище)</w:t>
            </w:r>
          </w:p>
        </w:tc>
      </w:tr>
    </w:tbl>
    <w:p>
      <w:pPr>
        <w:pStyle w:val="Normal"/>
        <w:bidi w:val="0"/>
        <w:ind w:left="7728" w:right="0" w:firstLine="60"/>
        <w:jc w:val="left"/>
        <w:rPr/>
      </w:pPr>
      <w:r>
        <w:rPr/>
      </w:r>
    </w:p>
    <w:sectPr>
      <w:type w:val="nextPage"/>
      <w:pgSz w:w="15840" w:h="12240"/>
      <w:pgMar w:left="1134" w:right="1134" w:header="0" w:top="284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NewRomanPS-BoldMT">
    <w:charset w:val="01"/>
    <w:family w:val="roman"/>
    <w:pitch w:val="variable"/>
  </w:font>
  <w:font w:name="Times-Bold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LibreOffice/6.3.3.2$MacOSX_X86_64 LibreOffice_project/a64200df03143b798afd1ec74a12ab50359878ed</Application>
  <Pages>5</Pages>
  <Words>553</Words>
  <Characters>3389</Characters>
  <CharactersWithSpaces>3793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>??????????? </dc:title>
</cp:coreProperties>
</file>