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lineRule="auto" w:line="288" w:before="0" w:after="140"/>
        <w:ind w:hanging="0" w:left="0" w:right="0"/>
        <w:jc w:val="left"/>
        <w:rPr>
          <w:rFonts w:ascii="Times New Roman" w:hAnsi="Times New Roman"/>
          <w:b/>
          <w:bCs/>
          <w:i w:val="false"/>
          <w:caps w:val="false"/>
          <w:smallCaps w:val="false"/>
          <w:color w:val="212529"/>
          <w:spacing w:val="0"/>
          <w:sz w:val="40"/>
          <w:szCs w:val="40"/>
        </w:rPr>
      </w:pPr>
      <w:r>
        <w:rPr>
          <w:rFonts w:ascii="Times New Roman" w:hAnsi="Times New Roman"/>
          <w:b/>
          <w:bCs/>
          <w:i w:val="false"/>
          <w:caps w:val="false"/>
          <w:smallCaps w:val="false"/>
          <w:color w:val="212529"/>
          <w:spacing w:val="0"/>
          <w:sz w:val="40"/>
          <w:szCs w:val="40"/>
        </w:rPr>
        <w:t>Якими пільгами користуються члени сім’ї загиблого (померлого) ветерана війни та членам сім’ї загиблого (померлого) Захисника чи Захисниці України</w:t>
      </w:r>
    </w:p>
    <w:p>
      <w:pPr>
        <w:pStyle w:val="BodyText"/>
        <w:widowControl/>
        <w:bidi w:val="0"/>
        <w:spacing w:before="0" w:after="140"/>
        <w:ind w:hanging="0" w:left="0" w:right="0"/>
        <w:jc w:val="left"/>
        <w:rPr/>
      </w:pPr>
      <w:r>
        <w:rPr>
          <w:rStyle w:val="Strong"/>
          <w:rFonts w:ascii="times new roman;times;serif" w:hAnsi="times new roman;times;serif"/>
          <w:b/>
          <w:i w:val="false"/>
          <w:caps w:val="false"/>
          <w:smallCaps w:val="false"/>
          <w:color w:val="212529"/>
          <w:spacing w:val="0"/>
          <w:sz w:val="28"/>
        </w:rPr>
        <w:t>ПІЛЬГИ СІМ’ЯМ ЗАГИБЛОГО (ПОМЕРЛОГО) ВЕТЕРАНА ВІЙНИ ТА ЧЛЕНАМ СІМ’Ї ЗАГИБЛОГО (ПОМЕРЛОГО) ЗАХИСНИКА ЧИ ЗАХИСНИЦІ УКРАЇНИ</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 безплатне одержання ліків, лікарських засобів, імунобіологічних препаратів та виробів медичного призначення за рецептами лікарів;</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2) безплатне першочергове зубопротезування (за винятком протезування з дорогоцінних металів);</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3)  безоплатне забезпечення санаторно-курортним лікуванням або одержання компенсації вартості самостійного санаторно-курортного лікування. Порядок надання путівок, розмір та порядок виплати компенсації вартості самостійного санаторно-курортного лікування визначаються Кабінетом Міністрів України;</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4) 50-процентна знижка плати за користування житлом (квартирна плата) в межах норм, передбачених чинним законодавством (21 кв. метр загальної площі житла на кожну особу, яка постійно проживає у житловому приміщенні (будинку) і має право на знижку плати, та додатково 10,5 кв. метра на сім'ю);</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5) 50-процентна знижка плати за користування комунальними послугами (газом, електроенергією та іншими послугами) та скрапленим балонним газом для побутових потреб в межах середніх норм споживання.</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Площа житла, на яку надається знижка, при розрахунках плати за опалення становить 21 кв. метр опалювальної площі на кожну особу, яка постійно проживає у житловому приміщенні (будинку) і має право на знижку плати, та додатково 10,5 кв. метра на сім'ю.</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Для сімей, що складаються лише з непрацездатних осіб, надається 50-процентна знижка за користування газом для опалювання житла на подвійний розмір нормативної опалювальної площі (42 кв. метри на кожну особу, яка має право на знижку плати, та 21 кв. метр на сім'ю);</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6) 50-процентна знижка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8) позачерговий безплатний капітальний ремонт власних жилих будинків і першочерговий поточний ремонт жилих будинків і квартир;</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9)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10) щорічне медичне обстеження і диспансеризація із залученням необхідних спеціалістів;</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11) першочергове обслуговування в лікувально-профілактичних закладах, аптеках та першочергова госпіталізація;</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12) виплата допомоги по тимчасовій непрацездатності в розмірі 100 процентів середньої заробітної плати незалежно від стажу роботи;</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13) використання чергової щорічної відпустки у зручний для них час; одержання додаткової відпустки без збереження заробітної плати строком до двох тижнів на рік;</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14) переважне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в разі ліквідації підприємства, установи, організації;</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15) позачергове забезпечення жилою площею осіб, які потребують поліпшення житлових умов, у тому числі за рахунок жилої площі, що передається міністерствами, іншими центральними органами виконавчої влади, підприємствами та організаціями у розпорядження місцевих рад та державних адміністрацій. Особи, зазначені в цій статті, забезпечуються жилою площею протягом двох років з дня взяття на квартирний облік.</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Органи виконавчої влади, виконавчі комітети місцевих рад зобов'язані подавати допомогу особам з інвалідністю внаслідок війни і сім'ям загиблих військовослужбовців у будівництві індивідуальних жилих будинків. Земельні ділянки для індивідуального житлового будівництва, садівництва і городництва відводяться зазначеним особам у першочерговому порядку;</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16)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України;</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17) першочергове право на вступ до житлово-будівельних (житлових) кооперативів, кооперативів по будівництву та експлуатації колективних гаражів, до садівницьких товариств, на придбання матеріалів для індивідуального будівництва і садових будинків, технічне обслуговування та забезпечення стоянками транспортних засобів;</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19) зі сплати податків, зборів, мита та інших платежів до бюджету відповідно до податкового та митного законодавства;</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20) позачергове користування всіма послугами зв'язку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 у розмірі 50 процентів від затверджених тарифів.</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Порядок користування послугами зв'язку та оплати за встановлення квартирних телефонів визначається Кабінетом Міністрів України;</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21) першочергове обслуговування підприємствами, установами та організаціями служби побуту, громадського харчування, житлово-комунального господарства, міжміського транспорту;</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22) позачергове обслуговування закладами та установами, що надають соціальні послуги з догляду. У разі неможливості здійснення такого обслуговування закладами соціального захисту населення відшкодовуються витрати, пов'язані з доглядом за ветераном війни, в порядку і розмірах, що визначаються Кабінетом Міністрів України;</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23) вступ поза конкурсом до державних та комунальних закладів вищої та фахової передвищої освіти на спеціальності, підготовка за якими здійснюється за рахунок коштів відповідно державного та місцевих бюджетів.</w:t>
      </w:r>
    </w:p>
    <w:p>
      <w:pPr>
        <w:pStyle w:val="Style15"/>
        <w:widowControl/>
        <w:bidi w:val="0"/>
        <w:spacing w:before="0" w:after="283"/>
        <w:ind w:hanging="0" w:left="567" w:right="567"/>
        <w:jc w:val="left"/>
        <w:rPr/>
      </w:pPr>
      <w:r>
        <w:rPr>
          <w:rFonts w:ascii="times new roman;times;serif" w:hAnsi="times new roman;times;serif"/>
          <w:b w:val="false"/>
          <w:i w:val="false"/>
          <w:caps w:val="false"/>
          <w:smallCaps w:val="false"/>
          <w:color w:val="000000"/>
          <w:spacing w:val="0"/>
          <w:sz w:val="24"/>
        </w:rPr>
        <w:t>Пільги щодо плати за житло, комунальні послуги та паливо, передбачені </w:t>
      </w:r>
      <w:r>
        <w:fldChar w:fldCharType="begin"/>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instrText xml:space="preserve"> HYPERLINK "https://zakon.rada.gov.ua/laws/show/3551-12" \l "n386"</w:instrTex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separate"/>
      </w:r>
      <w:r>
        <w:rPr>
          <w:rStyle w:val="Hyperlink"/>
          <w:rFonts w:ascii="times new roman;times;serif" w:hAnsi="times new roman;times;serif"/>
          <w:b w:val="false"/>
          <w:i w:val="false"/>
          <w:caps w:val="false"/>
          <w:smallCaps w:val="false"/>
          <w:strike w:val="false"/>
          <w:dstrike w:val="false"/>
          <w:color w:val="000000"/>
          <w:spacing w:val="0"/>
          <w:sz w:val="24"/>
          <w:u w:val="none"/>
          <w:effect w:val="none"/>
          <w:shd w:fill="auto" w:val="clear"/>
        </w:rPr>
        <w:t>пунктами 4-6</w: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end"/>
      </w:r>
      <w:r>
        <w:rPr>
          <w:rFonts w:ascii="times new roman;times;serif" w:hAnsi="times new roman;times;serif"/>
          <w:b w:val="false"/>
          <w:i w:val="false"/>
          <w:caps w:val="false"/>
          <w:smallCaps w:val="false"/>
          <w:color w:val="000000"/>
          <w:spacing w:val="0"/>
          <w:sz w:val="24"/>
        </w:rPr>
        <w:t> цієї статті, надаються сім’ям загиблих (померлих) ветеранів війни, сім’ям загиблих (померлих) Захисників і Захисниць України та членам їх сімей, які проживають разом з ними, незалежно від виду житла чи форми власності на нього.</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Площа житла, на яку нараховується 50-процентна знижка плати, визначається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Членам сімей, а також дружинам (чоловікам) померлих осіб з інвалідністю внаслідок Другої світової війни, які не одружилися вдруге, пенсії або щомісячне довічне грошове утримання чи державна соціальна допомога, що виплачується замість пенсії, підвищуються на 25 процентів прожиткового мінімуму для осіб, які втратили працездатність. Дружинам (чоловікам) померлих учасників війни і бойових дій, партизанів і підпільників, визнаних за життя особами з інвалідністю від загального захворювання, трудового каліцтва та з інших причин, які не одружилися вдруге, пенсії або щомісячне довічне грошове утримання чи державна соціальна допомога, що виплачується замість пенсії, підвищуються на 10 процентів прожиткового мінімуму для осіб, які втратили працездатність.</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Щороку до Дня Незалежності України членам сімей, а також дружинам (чоловікам) померлих осіб з інвалідністю внаслідок війни, які не одружилися вдруге, та дружинам (чоловікам) померлих учасників бойових дій, учасників війни, визнаних за життя особами з інвалідністю від загального захворювання, трудового каліцтва та з інших причин, які не одружилися вдруге, виплачується разова грошова виплата у порядку та розмірах, визначених Кабінетом Міністрів України в межах відповідних бюджетних призначень, встановлених законом про Державний бюджет України.</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Пільга щодо вступу до закладів вищої та фахової передвищої освіти, надається дітям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pPr>
        <w:pStyle w:val="Style15"/>
        <w:widowControl/>
        <w:bidi w:val="0"/>
        <w:spacing w:before="0" w:after="283"/>
        <w:ind w:hanging="0" w:left="567" w:right="567"/>
        <w:jc w:val="left"/>
        <w:rPr/>
      </w:pPr>
      <w:r>
        <w:rPr>
          <w:rFonts w:ascii="times new roman;times;serif" w:hAnsi="times new roman;times;serif"/>
          <w:b w:val="false"/>
          <w:i w:val="false"/>
          <w:caps w:val="false"/>
          <w:smallCaps w:val="false"/>
          <w:color w:val="000000"/>
          <w:spacing w:val="0"/>
          <w:sz w:val="24"/>
        </w:rPr>
        <w:t>Членам сімей осіб, зазначених у </w:t>
      </w:r>
      <w:r>
        <w:fldChar w:fldCharType="begin"/>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instrText xml:space="preserve"> HYPERLINK "https://zakon.rada.gov.ua/laws/show/3551-12" \l "n658"</w:instrTex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separate"/>
      </w:r>
      <w:r>
        <w:rPr>
          <w:rStyle w:val="Hyperlink"/>
          <w:rFonts w:ascii="times new roman;times;serif" w:hAnsi="times new roman;times;serif"/>
          <w:b w:val="false"/>
          <w:i w:val="false"/>
          <w:caps w:val="false"/>
          <w:smallCaps w:val="false"/>
          <w:strike w:val="false"/>
          <w:dstrike w:val="false"/>
          <w:color w:val="000000"/>
          <w:spacing w:val="0"/>
          <w:sz w:val="24"/>
          <w:u w:val="none"/>
          <w:effect w:val="none"/>
          <w:shd w:fill="auto" w:val="clear"/>
        </w:rPr>
        <w:t>пунктах 1-6</w: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end"/>
      </w:r>
      <w:r>
        <w:rPr>
          <w:rFonts w:ascii="times new roman;times;serif" w:hAnsi="times new roman;times;serif"/>
          <w:b w:val="false"/>
          <w:i w:val="false"/>
          <w:caps w:val="false"/>
          <w:smallCaps w:val="false"/>
          <w:color w:val="000000"/>
          <w:spacing w:val="0"/>
          <w:sz w:val="24"/>
        </w:rPr>
        <w:t> частини першої статті 10</w:t>
      </w:r>
      <w:r>
        <w:rPr>
          <w:rStyle w:val="Strong"/>
          <w:rFonts w:ascii="times new roman;times;serif" w:hAnsi="times new roman;times;serif"/>
          <w:b/>
          <w:i w:val="false"/>
          <w:caps w:val="false"/>
          <w:smallCaps w:val="false"/>
          <w:color w:val="000000"/>
          <w:spacing w:val="0"/>
          <w:sz w:val="18"/>
        </w:rPr>
        <w:t>-1</w:t>
      </w:r>
      <w:r>
        <w:rPr>
          <w:rFonts w:ascii="times new roman;times;serif" w:hAnsi="times new roman;times;serif"/>
          <w:b w:val="false"/>
          <w:i w:val="false"/>
          <w:caps w:val="false"/>
          <w:smallCaps w:val="false"/>
          <w:color w:val="000000"/>
          <w:spacing w:val="0"/>
          <w:sz w:val="24"/>
        </w:rPr>
        <w:t> цього Закону, за рахунок коштів державного бюджету призначається і виплачується одноразова грошова допомога у зв’язку із загибеллю (смертю) члена сім’ї у розмірі, визначеному </w:t>
      </w:r>
      <w:r>
        <w:fldChar w:fldCharType="begin"/>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instrText xml:space="preserve"> HYPERLINK "https://zakon.rada.gov.ua/laws/show/2011-12" \l "n327"</w:instrTex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separate"/>
      </w:r>
      <w:r>
        <w:rPr>
          <w:rStyle w:val="Hyperlink"/>
          <w:rFonts w:ascii="times new roman;times;serif" w:hAnsi="times new roman;times;serif"/>
          <w:b w:val="false"/>
          <w:i w:val="false"/>
          <w:caps w:val="false"/>
          <w:smallCaps w:val="false"/>
          <w:strike w:val="false"/>
          <w:dstrike w:val="false"/>
          <w:color w:val="000000"/>
          <w:spacing w:val="0"/>
          <w:sz w:val="24"/>
          <w:u w:val="none"/>
          <w:effect w:val="none"/>
          <w:shd w:fill="auto" w:val="clear"/>
        </w:rPr>
        <w:t>підпунктом "а"</w: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end"/>
      </w:r>
      <w:r>
        <w:rPr>
          <w:rFonts w:ascii="times new roman;times;serif" w:hAnsi="times new roman;times;serif"/>
          <w:b w:val="false"/>
          <w:i w:val="false"/>
          <w:caps w:val="false"/>
          <w:smallCaps w:val="false"/>
          <w:color w:val="000000"/>
          <w:spacing w:val="0"/>
          <w:sz w:val="24"/>
        </w:rPr>
        <w:t> пункту 1 статті 16</w:t>
      </w:r>
      <w:r>
        <w:rPr>
          <w:rStyle w:val="Strong"/>
          <w:rFonts w:ascii="times new roman;times;serif" w:hAnsi="times new roman;times;serif"/>
          <w:b/>
          <w:i w:val="false"/>
          <w:caps w:val="false"/>
          <w:smallCaps w:val="false"/>
          <w:color w:val="000000"/>
          <w:spacing w:val="0"/>
          <w:sz w:val="18"/>
        </w:rPr>
        <w:t>-2</w:t>
      </w:r>
      <w:r>
        <w:rPr>
          <w:rFonts w:ascii="times new roman;times;serif" w:hAnsi="times new roman;times;serif"/>
          <w:b w:val="false"/>
          <w:i w:val="false"/>
          <w:caps w:val="false"/>
          <w:smallCaps w:val="false"/>
          <w:color w:val="000000"/>
          <w:spacing w:val="0"/>
          <w:sz w:val="24"/>
        </w:rPr>
        <w:t> Закону України "Про соціальний і правовий захист військовослужбовців та членів їх сімей". Якщо особа у зв’язку із загибеллю (смертю) члена сім’ї одночасно має право на отримання одноразової грошової допомоги, передбаченої цією частиною, та одноразової грошової допомоги відповідно до інших законів України, виплата грошових сум здійснюється за однією з підстав за вибором такої особи. </w:t>
      </w:r>
      <w:r>
        <w:fldChar w:fldCharType="begin"/>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instrText xml:space="preserve"> HYPERLINK "https://zakon.rada.gov.ua/laws/show/336-2016-%D0%BF" \l "n10"</w:instrTex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separate"/>
      </w:r>
      <w:r>
        <w:rPr>
          <w:rStyle w:val="Hyperlink"/>
          <w:rFonts w:ascii="times new roman;times;serif" w:hAnsi="times new roman;times;serif"/>
          <w:b w:val="false"/>
          <w:i w:val="false"/>
          <w:caps w:val="false"/>
          <w:smallCaps w:val="false"/>
          <w:strike w:val="false"/>
          <w:dstrike w:val="false"/>
          <w:color w:val="000000"/>
          <w:spacing w:val="0"/>
          <w:sz w:val="24"/>
          <w:u w:val="none"/>
          <w:effect w:val="none"/>
          <w:shd w:fill="auto" w:val="clear"/>
        </w:rPr>
        <w:t>Порядок призначення і виплати одноразової грошової допомоги</w: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end"/>
      </w:r>
      <w:r>
        <w:rPr>
          <w:rFonts w:ascii="times new roman;times;serif" w:hAnsi="times new roman;times;serif"/>
          <w:b w:val="false"/>
          <w:i w:val="false"/>
          <w:caps w:val="false"/>
          <w:smallCaps w:val="false"/>
          <w:color w:val="000000"/>
          <w:spacing w:val="0"/>
          <w:sz w:val="24"/>
        </w:rPr>
        <w:t> визначається Кабінетом Міністрів України.</w:t>
      </w:r>
    </w:p>
    <w:p>
      <w:pPr>
        <w:pStyle w:val="Style15"/>
        <w:widowControl/>
        <w:bidi w:val="0"/>
        <w:spacing w:before="0" w:after="283"/>
        <w:ind w:hanging="0" w:left="567" w:right="567"/>
        <w:jc w:val="left"/>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Органи державної влади та органи місцевого самоврядування, у підпорядкуванні яких перебувають державні і комунальні заклади дошкільної, загальної середньої, професійної (професійно-технічної) чи фахової передвищої освіти, забезпечують безкоштовним харчуванням дітей, на яких поширюється чинність цього Закону.</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altName w:val="times"/>
    <w:charset w:val="cc"/>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uk-UA"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uk-UA" w:eastAsia="zh-CN" w:bidi="hi-IN"/>
    </w:rPr>
  </w:style>
  <w:style w:type="paragraph" w:styleId="Heading1">
    <w:name w:val="Heading 1"/>
    <w:basedOn w:val="Style13"/>
    <w:next w:val="BodyText"/>
    <w:qFormat/>
    <w:pPr>
      <w:numPr>
        <w:ilvl w:val="0"/>
        <w:numId w:val="0"/>
      </w:numPr>
      <w:spacing w:before="240" w:after="120"/>
      <w:outlineLvl w:val="0"/>
    </w:pPr>
    <w:rPr>
      <w:rFonts w:ascii="Liberation Serif" w:hAnsi="Liberation Serif" w:eastAsia="NSimSun" w:cs="Arial Unicode MS"/>
      <w:b/>
      <w:bCs/>
      <w:sz w:val="48"/>
      <w:szCs w:val="48"/>
    </w:rPr>
  </w:style>
  <w:style w:type="character" w:styleId="Strong">
    <w:name w:val="Strong"/>
    <w:qFormat/>
    <w:rPr>
      <w:b/>
      <w:bCs/>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4">
    <w:name w:val="Покажчик"/>
    <w:basedOn w:val="Normal"/>
    <w:qFormat/>
    <w:pPr>
      <w:suppressLineNumbers/>
    </w:pPr>
    <w:rPr>
      <w:rFonts w:cs="Arial Unicode MS"/>
    </w:rPr>
  </w:style>
  <w:style w:type="paragraph" w:styleId="Style15">
    <w:name w:val="Цитата у блоці"/>
    <w:basedOn w:val="Normal"/>
    <w:qFormat/>
    <w:pPr>
      <w:spacing w:before="0" w:after="283"/>
      <w:ind w:hanging="0" w:left="567" w:right="56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LibreOffice/24.2.4.2$Windows_X86_64 LibreOffice_project/51a6219feb6075d9a4c46691dcfe0cd9c4fff3c2</Application>
  <AppVersion>15.0000</AppVersion>
  <Pages>4</Pages>
  <Words>1189</Words>
  <Characters>8012</Characters>
  <CharactersWithSpaces>9168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2025-01-16T12:59:45Z</dcterms:created>
  <dc:creator/>
  <dc:description/>
  <dc:language>uk-UA</dc:language>
  <cp:lastModifiedBy/>
  <dcterms:modified xsi:type="dcterms:W3CDTF">2025-01-16T13:00:39Z</dcterms:modified>
  <cp:revision>1</cp:revision>
  <dc:subject/>
  <dc:title/>
</cp:coreProperties>
</file>