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widowControl/>
        <w:bidi w:val="0"/>
        <w:spacing w:before="240" w:after="120"/>
        <w:ind w:hanging="0" w:left="0" w:right="0"/>
        <w:jc w:val="both"/>
        <w:rPr>
          <w:rFonts w:ascii="Algerian" w:hAnsi="Algerian"/>
          <w:sz w:val="32"/>
          <w:szCs w:val="32"/>
        </w:rPr>
      </w:pPr>
      <w:r>
        <w:rPr>
          <w:rStyle w:val="Strong"/>
          <w:rFonts w:ascii="Arial" w:hAnsi="Arial"/>
          <w:b/>
          <w:bCs/>
          <w:i w:val="false"/>
          <w:caps w:val="false"/>
          <w:smallCaps w:val="false"/>
          <w:color w:val="212529"/>
          <w:spacing w:val="0"/>
          <w:sz w:val="32"/>
          <w:szCs w:val="32"/>
        </w:rPr>
        <w:t>Все про пільги УБД: перелік, як оформити та які права надають</w:t>
      </w:r>
    </w:p>
    <w:p>
      <w:pPr>
        <w:pStyle w:val="Heading2"/>
        <w:widowControl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57632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часники бойових дій (УБД) мають доступ до пільг, які забезпечують їхню соціальну підтримку та полегшують життя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Учасники бойових дій, які хоробро виконали свій обов'язок на фронті, мають право на ряд державних пільг, що підтримують їх у цивільному житті та полегшують щоденні потреби. Наявність відповідного посвідчення відкриває доступ до безплатних послуг та пільг або зі значною знижкою. </w:t>
      </w:r>
    </w:p>
    <w:p>
      <w:pPr>
        <w:pStyle w:val="Heading2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Які пільги може отримати учасник бойових дій?</w:t>
      </w:r>
    </w:p>
    <w:p>
      <w:pPr>
        <w:pStyle w:val="BodyText"/>
        <w:bidi w:val="0"/>
        <w:ind w:hanging="0" w:left="0" w:right="0"/>
        <w:jc w:val="both"/>
        <w:rPr/>
      </w:pPr>
      <w:r>
        <w:rPr>
          <w:rFonts w:ascii="Arial" w:hAnsi="Arial"/>
          <w:sz w:val="28"/>
          <w:szCs w:val="28"/>
        </w:rPr>
        <w:t>Закон України "</w:t>
      </w:r>
      <w:hyperlink r:id="rId3" w:anchor="Text" w:tgtFrame="_blank">
        <w:r>
          <w:rPr>
            <w:rStyle w:val="Hyperlink"/>
            <w:rFonts w:ascii="Arial" w:hAnsi="Arial"/>
            <w:sz w:val="28"/>
            <w:szCs w:val="28"/>
          </w:rPr>
          <w:t>Про статус ветеранів війни</w:t>
        </w:r>
      </w:hyperlink>
      <w:hyperlink r:id="rId4" w:anchor="Text" w:tgtFrame="_blank">
        <w:r>
          <w:rPr>
            <w:rStyle w:val="Hyperlink"/>
            <w:rFonts w:ascii="Arial" w:hAnsi="Arial"/>
            <w:sz w:val="28"/>
            <w:szCs w:val="28"/>
          </w:rPr>
          <w:t>, гарантії їх соціального захисту</w:t>
        </w:r>
      </w:hyperlink>
      <w:r>
        <w:rPr>
          <w:rFonts w:ascii="Arial" w:hAnsi="Arial"/>
          <w:sz w:val="28"/>
          <w:szCs w:val="28"/>
        </w:rPr>
        <w:t>" забезпечує учасників бойових дій широким спектром соціальних та правових гарантій, сприяючи їхній соціальній адаптації та забезпеченню достойного рівня життя.</w:t>
      </w:r>
    </w:p>
    <w:p>
      <w:pPr>
        <w:pStyle w:val="Heading3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Медичні пільги для УБД</w:t>
      </w:r>
    </w:p>
    <w:p>
      <w:pPr>
        <w:pStyle w:val="BodyText"/>
        <w:numPr>
          <w:ilvl w:val="0"/>
          <w:numId w:val="1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Безкоштовне отримання ліків за рецептами лікарів, включно з імунобіологічними препаратами та виробами медичного призначення.</w:t>
      </w:r>
    </w:p>
    <w:p>
      <w:pPr>
        <w:pStyle w:val="BodyText"/>
        <w:numPr>
          <w:ilvl w:val="0"/>
          <w:numId w:val="1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Безкоштовне зубопротезування (виняток становлять вироби із дорогоцінних металів).</w:t>
      </w:r>
    </w:p>
    <w:p>
      <w:pPr>
        <w:pStyle w:val="BodyText"/>
        <w:numPr>
          <w:ilvl w:val="0"/>
          <w:numId w:val="1"/>
        </w:numPr>
        <w:tabs>
          <w:tab w:val="clear" w:pos="709"/>
          <w:tab w:val="left" w:pos="709" w:leader="none"/>
        </w:tabs>
        <w:bidi w:val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Щорічні медичні обстеження та диспансеризація, а також першочергове обслуговування в медичних закладах та </w:t>
      </w:r>
      <w:r>
        <w:rPr>
          <w:rFonts w:ascii="Arial" w:hAnsi="Arial"/>
          <w:sz w:val="28"/>
          <w:szCs w:val="28"/>
        </w:rPr>
        <w:t>аптеках.</w:t>
      </w:r>
    </w:p>
    <w:p>
      <w:pPr>
        <w:pStyle w:val="BodyText"/>
        <w:widowControl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Учасники бойових дій також можуть користуватися медичними послугами в клініках, де вони обслуговувались відповідно до попереднього місця роботи, навіть після виходу на пенсію.</w:t>
      </w:r>
    </w:p>
    <w:p>
      <w:pPr>
        <w:pStyle w:val="Heading3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Пільги, що стосуються комунальних послуг та житла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Учасники бойових дій мають право на значні знижки в оплаті житлових та комунальних послуг: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Знижка у розмірі 75% на квартплату в межах норм, установлених законодавством. Тобто поширюється на 21 кв. метр загальної площі оселі для кожного мешканця, який постійно проживає у квартирі/будинку та має право на цю пільгу. Крім цього, передбачено додаткові 10,5 кв. м на родину.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Знижка в розмірі 75% на оплату електроенергії, водопостачання, газу та інших комунальних платежів. Це також стосується тих, хто користується скрапленим балонним газом для потреб домогосподарства (у межах установлених норм).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Знижка у розмірі 75% на вартість палива для людей, які живуть в оселях без центрального опалення (у межах установлених норм для продажу населенню).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Родини, які складаються тільки з непрацездатних людей, мають право на 75% знижку для опалення газом. При цьому знижка застосовується на подвійний норматив опалювальної площі: 42 квадратні метри на кожного члена сім'ї, який має право на пільгу, а також додатково 21 квадратний метр на всю родину.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Першочергове надання житла тим, хто потребує покращення житлових умов, а також виділення земельних ділянок для будівництва/садівництва/городництва. Крім того, йдеться про першочерговий ремонт житла цих людей та отримання палива.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Громадяни, які дістали поранення, контузію чи зазнали каліцтва в період участі у бойових діях чи під час виконання завдань у війську, мають право на забезпечення житлом, зокрема за рахунок житлової площі, яка в розпорядженні місцевих рад, державних адміністрацій тощо, протягом 2 років після взяття на квартирний облік.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Учасники бойових дій можуть отримувати позики для будівництва, реконструкції або капремонту будинків, підключення до інженерних мереж, а також для облаштування або покупку дачних ділянок. Погашення таких позик здійснюється протягом 10 років, починаючи з п'ятого року як завершилось будівництва. Порядок отримання пільги регулюється Кабміном.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Право першочергового вступу до житлово-будівельних кооперативів, садівницьких товариств, кооперативів з будівництва гаражів та інше.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Позачергове встановлення телефонів для квартир та користування послугами зв’язку за пільговими умовами.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Учасники бойових дій в Україні також мають право на значні соціальні, податкові та транспортні пільги, які допомагають їм у вирішенні повсякденних питань і забезпечують підтримку.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3039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widowControl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Пільги, що стосуються соціальної та податкової складової: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Грошова допомога з тимчасової непрацездатності, яка складає 100% середньої заробітної плати (не залежить від стажу).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Право на додаткову відпустку зі збереженням зарплати на 14 календарних днів на рік, а також можливість використати чергову щорічну відпустку у будь-який зручний час.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Захист у разі скороченні штату — переважне право залишитися на роботі при скороченні. Крім того, УБД має право отримати допомогу у працевлаштуванні в разі ліквідації підприємства чи організації.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Податкові пільги — учасники бойових дій мають переваги при сплаті податків, зборів та мита відповідно до податкового законодавства України.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Першочергове обслуговування у закладах побутового обслуговування, громадського харчування, ЖКГ та транспорту.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Позачергове обслуговування соціальними службами — при неможливості обслуговування в установах соцзахисту держава компенсує витрати на догляд за ветеранами.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09" w:leader="none"/>
        </w:tabs>
        <w:bidi w:val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УБД  на території інших держав мають пріоритетне право на вступ до вищих навчальних закладів, а також на безконкурсний вступ до професійно-технічних навчальних закладів і курсів для здобуття професій.</w:t>
      </w:r>
    </w:p>
    <w:p>
      <w:pPr>
        <w:pStyle w:val="BodyText"/>
        <w:widowControl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Держава гарантує УБД та їхнім дітям (зокрема тим, хто навчається на денній формі в професійних, фахових передвищих та вищих навчальних закладах) цільову державну підтримку до завершення їх навчання, але не довше ніж до досягнення 23-річного віку. Ця підтримка покриває витрати на навчання у державних та комунальних освітніх установах.</w:t>
      </w:r>
    </w:p>
    <w:p>
      <w:pPr>
        <w:pStyle w:val="Heading3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Пільги для здобуття освіти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Держава також забезпечує пільги в освіті (професійна або професійно-технічна, фахова передвища чи вища освіти) для учасників бойових дій та їх дітей: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Забезпечення повної або часткової оплати навчання за кошти державного/місцевих бюджетів.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Пільгові довгострокові кредити для отримання освіти.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Безоплатне професійне навчання або підвищення кваліфікації у спеціалізованих центрах Державної служби зайнятості.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Соціальна стипендія.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709" w:leader="none"/>
        </w:tabs>
        <w:bidi w:val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Безоплатне отримання підручників, доступу до Інтернету, систем баз даних, а також проживання в гуртожитках та інші заходи, що затверджені Кабміном.</w:t>
      </w:r>
    </w:p>
    <w:p>
      <w:pPr>
        <w:pStyle w:val="Heading3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Пільги на транспорт:</w:t>
      </w:r>
    </w:p>
    <w:p>
      <w:pPr>
        <w:pStyle w:val="BodyText"/>
        <w:numPr>
          <w:ilvl w:val="0"/>
          <w:numId w:val="5"/>
        </w:numPr>
        <w:tabs>
          <w:tab w:val="clear" w:pos="709"/>
          <w:tab w:val="left" w:pos="709" w:leader="none"/>
        </w:tabs>
        <w:bidi w:val="0"/>
        <w:spacing w:before="0" w:after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Безкоштовний проїзд у всіх видах міського та приміського транспорту, а також автотранспорту загального користування в сільської місцевості. Зокрема йдеться про міжміські автобуси, залізничне й водне приміське сполучення та інші види, при наявності відповідного посвідчення або електронного квитка встановленого зразка.</w:t>
      </w:r>
    </w:p>
    <w:p>
      <w:pPr>
        <w:pStyle w:val="BodyText"/>
        <w:numPr>
          <w:ilvl w:val="0"/>
          <w:numId w:val="5"/>
        </w:numPr>
        <w:tabs>
          <w:tab w:val="clear" w:pos="709"/>
          <w:tab w:val="left" w:pos="709" w:leader="none"/>
        </w:tabs>
        <w:bidi w:val="0"/>
        <w:ind w:hanging="283" w:left="709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Один раз на два роки учасники бойових дій можуть безкоштовно скористатися міжміським транспортом (залізничним, водним, автомобільним чи повітряним), або отримати 50% знижку на проїзд, якщо скористаються послугою один раз на рік.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Ці пільги спрямовані на покращення якості життя учасників бойових дій, підтримку їх професійної та соціальної інтеграції, а також забезпечення можливості безперешкодного доступу до необхідних послуг та ресурсів.</w:t>
      </w:r>
    </w:p>
    <w:p>
      <w:pPr>
        <w:pStyle w:val="BodyText"/>
        <w:bidi w:val="0"/>
        <w:ind w:hanging="0" w:left="0" w:right="0"/>
        <w:jc w:val="both"/>
        <w:rPr/>
      </w:pPr>
      <w:r>
        <w:rPr>
          <w:rFonts w:ascii="Arial" w:hAnsi="Arial"/>
          <w:sz w:val="28"/>
          <w:szCs w:val="28"/>
        </w:rPr>
        <w:t>У червні 2023 року на розгляд до парламенту України також було подано </w:t>
      </w:r>
      <w:hyperlink r:id="rId6" w:tgtFrame="_blank">
        <w:r>
          <w:rPr>
            <w:rStyle w:val="Hyperlink"/>
            <w:rFonts w:ascii="Arial" w:hAnsi="Arial"/>
            <w:sz w:val="28"/>
            <w:szCs w:val="28"/>
          </w:rPr>
          <w:t>законопроєкт №9357</w:t>
        </w:r>
      </w:hyperlink>
      <w:r>
        <w:rPr>
          <w:rFonts w:ascii="Arial" w:hAnsi="Arial"/>
          <w:sz w:val="28"/>
          <w:szCs w:val="28"/>
        </w:rPr>
        <w:t>, який має на меті суттєво розширити соціальні гарантії для військовослужбовців та їх сімей. Ініціатива передбачає чотири основні види пільг, зокрема йдеться про безкоштовне медичне обслуговування та послуги у реабілітаційних центрах, безоплатне навчання дітей військових у приватних дитсадках, школах і закладах позашкільної освіти.</w:t>
      </w:r>
    </w:p>
    <w:p>
      <w:pPr>
        <w:pStyle w:val="Heading2"/>
        <w:widowControl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Як можна отримати пільги?</w:t>
      </w:r>
    </w:p>
    <w:p>
      <w:pPr>
        <w:pStyle w:val="BodyText"/>
        <w:bidi w:val="0"/>
        <w:ind w:hanging="0" w:left="0" w:right="0"/>
        <w:jc w:val="both"/>
        <w:rPr/>
      </w:pPr>
      <w:r>
        <w:rPr>
          <w:rFonts w:ascii="Arial" w:hAnsi="Arial"/>
          <w:sz w:val="28"/>
          <w:szCs w:val="28"/>
        </w:rPr>
        <w:t>По-перше, щоб скористатися будь-якою з пільг, необхідно мати статус УБД. Тому, спочатку військовий або законний представник </w:t>
      </w:r>
      <w:hyperlink r:id="rId7" w:tgtFrame="_blank">
        <w:r>
          <w:rPr>
            <w:rStyle w:val="Hyperlink"/>
            <w:rFonts w:ascii="Arial" w:hAnsi="Arial"/>
            <w:sz w:val="28"/>
            <w:szCs w:val="28"/>
          </w:rPr>
          <w:t>має оформити статус УБД</w:t>
        </w:r>
      </w:hyperlink>
      <w:r>
        <w:rPr>
          <w:rFonts w:ascii="Arial" w:hAnsi="Arial"/>
          <w:sz w:val="28"/>
          <w:szCs w:val="28"/>
        </w:rPr>
        <w:t> та отримати відповідне посвідчення.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Після цього необхідно звернутися до відділення Пенсійного фонду України (необов'язково за місцем реєстрації) та подати дві заяви: щодо внесення до Єдиного державного реєстру осіб з правом на пільги та заяву на встановлення пільги.</w:t>
      </w:r>
    </w:p>
    <w:p>
      <w:pPr>
        <w:pStyle w:val="BodyText"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Ці документи можна подати особисто до сервісного центру ПФУ, надіслати за допомогою пошти або скористатися онлайн-сервісами: веб-портал е-послуг ПФУ чи застосунком "Дія". Пільгу можуть встановити безпосередньо учаснику бойових дій або членам його родини.</w:t>
      </w:r>
    </w:p>
    <w:p>
      <w:pPr>
        <w:pStyle w:val="Normal"/>
        <w:widowControl/>
        <w:bidi w:val="0"/>
        <w:ind w:hanging="0" w:left="0" w:right="0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charset w:val="01"/>
    <w:family w:val="swiss"/>
    <w:pitch w:val="variable"/>
  </w:font>
  <w:font w:name="Algerian">
    <w:altName w:val="comic"/>
    <w:charset w:val="01"/>
    <w:family w:val="decorative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6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73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uk-UA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uk-UA" w:eastAsia="zh-CN" w:bidi="hi-IN"/>
    </w:rPr>
  </w:style>
  <w:style w:type="paragraph" w:styleId="Heading1">
    <w:name w:val="Heading 1"/>
    <w:basedOn w:val="Style13"/>
    <w:next w:val="BodyText"/>
    <w:qFormat/>
    <w:pPr>
      <w:spacing w:before="240" w:after="120"/>
      <w:outlineLvl w:val="0"/>
    </w:pPr>
    <w:rPr>
      <w:rFonts w:ascii="Liberation Serif" w:hAnsi="Liberation Serif" w:eastAsia="NSimSun" w:cs="Arial Unicode MS"/>
      <w:b/>
      <w:bCs/>
      <w:sz w:val="48"/>
      <w:szCs w:val="48"/>
    </w:rPr>
  </w:style>
  <w:style w:type="paragraph" w:styleId="Heading2">
    <w:name w:val="Heading 2"/>
    <w:basedOn w:val="Style13"/>
    <w:next w:val="BodyText"/>
    <w:qFormat/>
    <w:pPr>
      <w:spacing w:before="200" w:after="120"/>
      <w:outlineLvl w:val="1"/>
    </w:pPr>
    <w:rPr>
      <w:rFonts w:ascii="Liberation Serif" w:hAnsi="Liberation Serif" w:eastAsia="NSimSun" w:cs="Arial Unicode MS"/>
      <w:b/>
      <w:bCs/>
      <w:sz w:val="36"/>
      <w:szCs w:val="36"/>
    </w:rPr>
  </w:style>
  <w:style w:type="paragraph" w:styleId="Heading3">
    <w:name w:val="Heading 3"/>
    <w:basedOn w:val="Style13"/>
    <w:next w:val="BodyText"/>
    <w:qFormat/>
    <w:pPr>
      <w:spacing w:before="140" w:after="120"/>
      <w:outlineLvl w:val="2"/>
    </w:pPr>
    <w:rPr>
      <w:rFonts w:ascii="Liberation Serif" w:hAnsi="Liberation Serif" w:eastAsia="NSimSun" w:cs="Arial Unicode MS"/>
      <w:b/>
      <w:bCs/>
      <w:sz w:val="28"/>
      <w:szCs w:val="28"/>
    </w:rPr>
  </w:style>
  <w:style w:type="character" w:styleId="Style11">
    <w:name w:val="Символ нумерації"/>
    <w:qFormat/>
    <w:rPr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rPr>
      <w:color w:val="000080"/>
      <w:u w:val="single"/>
    </w:rPr>
  </w:style>
  <w:style w:type="character" w:styleId="Style12">
    <w:name w:val="Маркери"/>
    <w:qFormat/>
    <w:rPr>
      <w:rFonts w:ascii="OpenSymbol" w:hAnsi="OpenSymbol" w:eastAsia="OpenSymbol" w:cs="OpenSymbol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4">
    <w:name w:val="Покажчик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zakon.rada.gov.ua/laws/show/3551-12" TargetMode="External"/><Relationship Id="rId4" Type="http://schemas.openxmlformats.org/officeDocument/2006/relationships/hyperlink" Target="http://zakon.rada.gov.ua/laws/show/3551-12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itd.rada.gov.ua/billInfo/Bills/Card/42048" TargetMode="External"/><Relationship Id="rId7" Type="http://schemas.openxmlformats.org/officeDocument/2006/relationships/hyperlink" Target="https://www.unian.ua/society/pilgi-ubd-z-1-travnya-2024-roku-yaki-ta-yak-mozhna-oformiti-12618951.html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LibreOffice/24.2.4.2$Windows_X86_64 LibreOffice_project/51a6219feb6075d9a4c46691dcfe0cd9c4fff3c2</Application>
  <AppVersion>15.0000</AppVersion>
  <Pages>5</Pages>
  <Words>1042</Words>
  <Characters>6638</Characters>
  <CharactersWithSpaces>7612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2025-01-27T08:57:12Z</dcterms:created>
  <dc:creator/>
  <dc:description/>
  <dc:language>uk-UA</dc:language>
  <cp:lastModifiedBy/>
  <cp:lastPrinted>2025-01-27T09:17:33Z</cp:lastPrinted>
  <dcterms:modified xsi:type="dcterms:W3CDTF">2025-01-27T09:19:50Z</dcterms:modified>
  <cp:revision>1</cp:revision>
  <dc:subject/>
  <dc:title/>
</cp:coreProperties>
</file>