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bookmarkStart w:id="0" w:name="bookmark9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ТЕСТ малого підприємництва</w:t>
      </w:r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(М-Тест)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Консультації з представниками мікро- та малого підприємництва щодо оцінки впливу регулювання</w:t>
      </w:r>
      <w:r>
        <w:rPr>
          <w:rFonts w:eastAsia="Times New Roman" w:cs="Times New Roman" w:ascii="Times New Roman" w:hAnsi="Times New Roman"/>
          <w:sz w:val="28"/>
          <w:szCs w:val="28"/>
          <w:lang w:val="ru-RU" w:eastAsia="ru-RU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Консультації щодо визначення впливу запропонованого регулювання на суб’єктів малого підприємництва та детального переліку про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цедур, виконання яких необхідне для здійснення регулювання,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проведені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з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11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.2021 по 14.0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val="uk-UA" w:eastAsia="ru-RU"/>
        </w:rPr>
        <w:t>5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lang w:eastAsia="ru-RU"/>
        </w:rPr>
        <w:t>.2021 року.</w:t>
      </w:r>
    </w:p>
    <w:p>
      <w:pPr>
        <w:pStyle w:val="Normal"/>
        <w:spacing w:lineRule="auto" w:line="240" w:before="0" w:after="0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Style w:val="a3"/>
        <w:tblW w:w="99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1"/>
        <w:gridCol w:w="3974"/>
        <w:gridCol w:w="1701"/>
        <w:gridCol w:w="3575"/>
      </w:tblGrid>
      <w:tr>
        <w:trPr/>
        <w:tc>
          <w:tcPr>
            <w:tcW w:w="67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br/>
              <w:t xml:space="preserve"> п/п</w:t>
            </w:r>
          </w:p>
        </w:tc>
        <w:tc>
          <w:tcPr>
            <w:tcW w:w="397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Вид консультацій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Кількість учасників осіб</w:t>
            </w:r>
          </w:p>
        </w:tc>
        <w:tc>
          <w:tcPr>
            <w:tcW w:w="35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Основні результати консультац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і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й (опис)</w:t>
            </w:r>
          </w:p>
        </w:tc>
      </w:tr>
      <w:tr>
        <w:trPr/>
        <w:tc>
          <w:tcPr>
            <w:tcW w:w="671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397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>обоч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нарад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</w:t>
            </w:r>
            <w:r>
              <w:rPr>
                <w:rFonts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  <w:t xml:space="preserve"> з питань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встановлення тарифів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ва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р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тост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 xml:space="preserve">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проїзду пасажирів на автобусних міських маршрутах загального користування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.</w:t>
            </w:r>
          </w:p>
        </w:tc>
        <w:tc>
          <w:tcPr>
            <w:tcW w:w="170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</w:p>
        </w:tc>
        <w:tc>
          <w:tcPr>
            <w:tcW w:w="35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Визначення оптимального розміру нового тарифу на послуги з пасажирських перевезень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2.Вимірювання впливу регулювання на суб’єктів мікро та малого підприємництва: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- кількість суб’єктів господарювання, на яких поширюється регулювання: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одиниці, питома вага яких складає 100%.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Розрахунок витрат суб’єктів малого та мікро підприємництва на виконання вимог регулювання.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Маршрутна мережа міста складається із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8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автобусних маршрутів, які обслуговує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1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 автобус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. Витрати, що несе перевізник при затвердженні даного рішення на одиницю задіяного транспорту становлять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5 г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рн. (оновлення в салонах транспортних засобів інформацію про зміну вартості проїзду).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Style w:val="a3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59"/>
        <w:gridCol w:w="4536"/>
        <w:gridCol w:w="2393"/>
        <w:gridCol w:w="1858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Витрати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За перший рік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За два роки</w:t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453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Витрати на оборотні активи </w:t>
              <w:br/>
              <w:t>(5 грн.*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 автобуса = 110 грн.)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20,00</w:t>
            </w:r>
          </w:p>
        </w:tc>
      </w:tr>
      <w:tr>
        <w:trPr/>
        <w:tc>
          <w:tcPr>
            <w:tcW w:w="5495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Разом витрат</w:t>
            </w:r>
          </w:p>
        </w:tc>
        <w:tc>
          <w:tcPr>
            <w:tcW w:w="2393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20,00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Бюджетні витрати на адміністрування регулювання суб’єктів малого підприємництва.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Державне регулювання рішення не передбачає утворення нового структурного підрозділу. Орган, який несе витрати пов’язані з розробкою регуляторного акта, контролем за його виконанням, проведенням аналізу та заходів по відстеженню результативності регуляторного акта – відділ транспорту та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зв'язку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виконавчого комітету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Покровсько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ї міської ради.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Строк, який займають усі етапи прийняття регуляторного акта здійснюється відповідно до вимог Закону України від 11.09.2003 №1160-ІV «Про засади державної регуляторної політики у сфері господарської діяльності» та з урахуванням Методики проведення аналізу впливу регуляторного акта, затвердженої Постановою Кабінету Міністрів України від 11.03.2004 № 308 (зі змінами, затвердженими Постановою Кабінету Міністрів України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ід 16.12.2015 № 1151).</w:t>
      </w:r>
    </w:p>
    <w:p>
      <w:pPr>
        <w:pStyle w:val="Normal"/>
        <w:spacing w:lineRule="auto" w:line="240" w:before="0" w:after="0"/>
        <w:rPr>
          <w:sz w:val="16"/>
          <w:szCs w:val="28"/>
        </w:rPr>
      </w:pPr>
      <w:r>
        <w:rPr>
          <w:sz w:val="16"/>
          <w:szCs w:val="28"/>
        </w:rPr>
      </w:r>
    </w:p>
    <w:tbl>
      <w:tblPr>
        <w:tblStyle w:val="a3"/>
        <w:tblW w:w="9868" w:type="dxa"/>
        <w:jc w:val="left"/>
        <w:tblInd w:w="123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17"/>
        <w:gridCol w:w="1416"/>
        <w:gridCol w:w="1916"/>
        <w:gridCol w:w="1367"/>
        <w:gridCol w:w="1"/>
        <w:gridCol w:w="1465"/>
        <w:gridCol w:w="1"/>
        <w:gridCol w:w="1484"/>
      </w:tblGrid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Процедура регулювання суб’єктів малого й мікро підприємництва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en-US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Планові витрати часу на пр</w:t>
            </w:r>
            <w:r>
              <w:rPr>
                <w:rFonts w:eastAsia="Times New Roman" w:cs="Times New Roman" w:ascii="Times New Roman" w:hAnsi="Times New Roman"/>
                <w:spacing w:val="-30"/>
                <w:kern w:val="0"/>
                <w:sz w:val="28"/>
                <w:szCs w:val="28"/>
                <w:lang w:eastAsia="ru-RU" w:bidi="ar-SA"/>
              </w:rPr>
              <w:t>оцед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уру(години)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Вартість часу співробітника органу державної влади відповідної категорії (заробітна плата) грн./година)</w:t>
            </w:r>
          </w:p>
        </w:tc>
        <w:tc>
          <w:tcPr>
            <w:tcW w:w="136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Оцінка кількості процедур за рік</w:t>
            </w:r>
          </w:p>
        </w:tc>
        <w:tc>
          <w:tcPr>
            <w:tcW w:w="1466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Витрати на </w:t>
            </w:r>
            <w:r>
              <w:rPr>
                <w:rFonts w:eastAsia="Times New Roman" w:cs="Times New Roman" w:ascii="Times New Roman" w:hAnsi="Times New Roman"/>
                <w:spacing w:val="0"/>
                <w:kern w:val="0"/>
                <w:sz w:val="28"/>
                <w:szCs w:val="28"/>
                <w:lang w:eastAsia="ru-RU" w:bidi="ar-SA"/>
              </w:rPr>
              <w:t>адміні-стрування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регулю-вання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(за рік) грн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Витрати на адміні-стрування регулю-вання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(за 2 роки) грн</w:t>
            </w:r>
          </w:p>
        </w:tc>
      </w:tr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Підготовка, організація обговорення та надання на затвердження 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Покровської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 міської ради проекту регуляторного акта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70</w:t>
            </w:r>
          </w:p>
        </w:tc>
        <w:tc>
          <w:tcPr>
            <w:tcW w:w="19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37,5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2625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5250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</w:t>
            </w:r>
          </w:p>
        </w:tc>
      </w:tr>
      <w:tr>
        <w:trPr/>
        <w:tc>
          <w:tcPr>
            <w:tcW w:w="2217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Проведення процедур з перевірки результативності дії регуляторного акта</w:t>
            </w:r>
          </w:p>
        </w:tc>
        <w:tc>
          <w:tcPr>
            <w:tcW w:w="14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</w:t>
            </w:r>
          </w:p>
        </w:tc>
        <w:tc>
          <w:tcPr>
            <w:tcW w:w="191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37,5</w:t>
            </w:r>
          </w:p>
        </w:tc>
        <w:tc>
          <w:tcPr>
            <w:tcW w:w="136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146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750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485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1500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</w:t>
            </w:r>
          </w:p>
        </w:tc>
      </w:tr>
      <w:tr>
        <w:trPr/>
        <w:tc>
          <w:tcPr>
            <w:tcW w:w="6917" w:type="dxa"/>
            <w:gridSpan w:val="5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Разом за рік*</w:t>
            </w:r>
          </w:p>
        </w:tc>
        <w:tc>
          <w:tcPr>
            <w:tcW w:w="1466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3375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,00 </w:t>
            </w:r>
          </w:p>
        </w:tc>
        <w:tc>
          <w:tcPr>
            <w:tcW w:w="1484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6750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,00</w:t>
            </w:r>
          </w:p>
        </w:tc>
      </w:tr>
      <w:tr>
        <w:trPr/>
        <w:tc>
          <w:tcPr>
            <w:tcW w:w="8382" w:type="dxa"/>
            <w:gridSpan w:val="6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* Вартість витрат, пов’язаних з адмініструванням процесу регулювання державними органами, визначається шляхом множення фактичних витрат часу персоналу на заробітну плату спеціаліста відповідної кваліфікації, та на кількість процедур за рік.</w:t>
            </w:r>
          </w:p>
        </w:tc>
        <w:tc>
          <w:tcPr>
            <w:tcW w:w="1485" w:type="dxa"/>
            <w:gridSpan w:val="2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Посадовими обов’язками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начальника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відділу 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транспорту та зв’язку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передбачено здійснення на вищенаведеної зазначеної діяльності, тобто додаткових витрат на адміністрування регулювання не передбачається.</w:t>
      </w:r>
    </w:p>
    <w:p>
      <w:p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Розрахунок сумарних витрат суб’єктів малого та мікро підприємництва, що виникають на виконання вимог регулювання.</w:t>
      </w:r>
    </w:p>
    <w:p>
      <w:pPr>
        <w:pStyle w:val="Normal"/>
        <w:spacing w:lineRule="auto" w:line="240" w:before="0" w:after="0"/>
        <w:ind w:firstLine="708"/>
        <w:jc w:val="both"/>
        <w:rPr>
          <w:sz w:val="20"/>
          <w:szCs w:val="28"/>
        </w:rPr>
      </w:pPr>
      <w:r>
        <w:rPr>
          <w:sz w:val="20"/>
          <w:szCs w:val="28"/>
        </w:rPr>
      </w:r>
    </w:p>
    <w:tbl>
      <w:tblPr>
        <w:tblStyle w:val="a3"/>
        <w:tblW w:w="96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390"/>
        <w:gridCol w:w="1928"/>
        <w:gridCol w:w="1617"/>
      </w:tblGrid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п/п</w:t>
            </w:r>
          </w:p>
        </w:tc>
        <w:tc>
          <w:tcPr>
            <w:tcW w:w="5390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Показник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Перший рік регулювання, грн.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 xml:space="preserve">За два роки, 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грн.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1</w:t>
            </w:r>
          </w:p>
        </w:tc>
        <w:tc>
          <w:tcPr>
            <w:tcW w:w="539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Сумарні витрати суб’єктів малого та мікро підприємництва на виконання запланованого регулювання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0,00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1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20,00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539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Бюджетні витрати на адміністрування регулювання суб’єктів малого та мікро підприємництва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3375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6750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,00</w:t>
            </w:r>
          </w:p>
        </w:tc>
      </w:tr>
      <w:tr>
        <w:trPr/>
        <w:tc>
          <w:tcPr>
            <w:tcW w:w="67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3</w:t>
            </w:r>
          </w:p>
        </w:tc>
        <w:tc>
          <w:tcPr>
            <w:tcW w:w="5390" w:type="dxa"/>
            <w:tcBorders/>
            <w:shd w:fill="auto" w:val="clear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Сумарні витрати на виконання запланованого регулювання (рядки 1+2)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uk-UA" w:eastAsia="ru-RU" w:bidi="ar-SA"/>
              </w:rPr>
              <w:t>3435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,00</w:t>
            </w:r>
          </w:p>
        </w:tc>
        <w:tc>
          <w:tcPr>
            <w:tcW w:w="161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eastAsia="ru-RU" w:bidi="ar-SA"/>
              </w:rPr>
              <w:t>6870,00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0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6. Розроблення коригуючих (пом’якшувальних) заходів для малого підприємництва щодо запропонованого регулювання.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Для суб’єктів підприємництва, що працюють в транспортній галузі, кор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гуючим (пом’якшувальним) заходом є можливість коригування тарифів на послуги з перевезення пасажирів та багажу автобусними маршрутами загального користування, розрахунок яких виконано відповідно Методики, що створить умови для захисту автоперевізників від провадження збиткової господарської діяльності, його коригування в спосіб, визначений чинним законодавством України.</w:t>
      </w:r>
    </w:p>
    <w:p>
      <w:pPr>
        <w:pStyle w:val="Normal"/>
        <w:spacing w:before="0" w:after="160"/>
        <w:rPr/>
      </w:pPr>
      <w:r>
        <w:rPr/>
      </w:r>
    </w:p>
    <w:sectPr>
      <w:headerReference w:type="even" r:id="rId2"/>
      <w:headerReference w:type="default" r:id="rId3"/>
      <w:headerReference w:type="first" r:id="rId4"/>
      <w:type w:val="nextPage"/>
      <w:pgSz w:w="11906" w:h="16838"/>
      <w:pgMar w:left="1474" w:right="567" w:header="567" w:top="1842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spacing w:before="0" w:after="220"/>
      <w:ind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/>
        <w:color w:val="000000"/>
        <w:sz w:val="16"/>
        <w:szCs w:val="16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1"/>
      <w:spacing w:before="0" w:after="220"/>
      <w:ind w:hanging="0"/>
      <w:jc w:val="center"/>
      <w:rPr>
        <w:rFonts w:ascii="Times New Roman" w:hAnsi="Times New Roman" w:eastAsia="Times New Roman" w:cs="Times New Roman"/>
        <w:color w:val="000000"/>
        <w:sz w:val="16"/>
        <w:szCs w:val="16"/>
      </w:rPr>
    </w:pPr>
    <w:r>
      <w:rPr>
        <w:rFonts w:eastAsia="Times New Roman" w:cs="Times New Roman"/>
        <w:color w:val="000000"/>
        <w:sz w:val="16"/>
        <w:szCs w:val="16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59" w:before="0" w:after="0"/>
      <w:ind w:left="6180" w:right="0" w:hanging="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75"/>
  <w:defaultTabStop w:val="708"/>
  <w:autoHyphenation w:val="false"/>
  <w:evenAndOddHeaders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54bc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uk-UA" w:eastAsia="en-US" w:bidi="ar-SA"/>
    </w:rPr>
  </w:style>
  <w:style w:type="paragraph" w:styleId="1">
    <w:name w:val="Heading 1"/>
    <w:basedOn w:val="Style13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Times New Roman" w:hAnsi="Times New Roman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ascii="Times New Roman" w:hAnsi="Times New Roman" w:cs="Lucida Sans"/>
      <w:sz w:val="24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Lohit Devanagari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Lucida Sans"/>
      <w:sz w:val="24"/>
    </w:rPr>
  </w:style>
  <w:style w:type="paragraph" w:styleId="Style19">
    <w:name w:val="Верхний и нижний колонтитулы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yle20">
    <w:name w:val="Header"/>
    <w:basedOn w:val="Style19"/>
    <w:pPr>
      <w:suppressLineNumbers/>
    </w:pPr>
    <w:rPr/>
  </w:style>
  <w:style w:type="paragraph" w:styleId="11">
    <w:name w:val="Основной текст1"/>
    <w:basedOn w:val="Normal"/>
    <w:qFormat/>
    <w:pPr>
      <w:spacing w:before="0" w:after="100"/>
      <w:ind w:firstLine="20"/>
    </w:pPr>
    <w:rPr>
      <w:rFonts w:ascii="Times New Roman" w:hAnsi="Times New Roman" w:eastAsia="Times New Roman" w:cs="Times New Roman"/>
      <w:sz w:val="16"/>
      <w:szCs w:val="16"/>
    </w:rPr>
  </w:style>
  <w:style w:type="paragraph" w:styleId="Style21">
    <w:name w:val="Subtitle"/>
    <w:basedOn w:val="Style13"/>
    <w:qFormat/>
    <w:pPr>
      <w:spacing w:before="60" w:after="120"/>
      <w:jc w:val="center"/>
    </w:pPr>
    <w:rPr>
      <w:sz w:val="36"/>
      <w:szCs w:val="36"/>
    </w:rPr>
  </w:style>
  <w:style w:type="paragraph" w:styleId="Style22">
    <w:name w:val="Содержимое таблицы"/>
    <w:basedOn w:val="Normal"/>
    <w:qFormat/>
    <w:pPr>
      <w:widowControl w:val="false"/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be5f4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2AE3-9877-4674-AF2B-0FE3A66F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Application>LibreOffice/6.0.7.3$Linux_X86_64 LibreOffice_project/00m0$Build-3</Application>
  <Pages>3</Pages>
  <Words>537</Words>
  <Characters>3798</Characters>
  <CharactersWithSpaces>4270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2019-12-23T13:45:00Z</dcterms:created>
  <dc:creator>user</dc:creator>
  <dc:description/>
  <dc:language>uk-UA</dc:language>
  <cp:lastModifiedBy/>
  <cp:lastPrinted>2021-05-07T14:15:01Z</cp:lastPrinted>
  <dcterms:modified xsi:type="dcterms:W3CDTF">2021-05-20T15:55:31Z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