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</w:t>
      </w:r>
      <w:r>
        <w:rPr>
          <w:sz w:val="24"/>
          <w:szCs w:val="24"/>
          <w:lang w:val="uk-UA"/>
        </w:rPr>
        <w:t>Річний план закупівель на 2019 рік</w:t>
      </w:r>
    </w:p>
    <w:p>
      <w:pPr>
        <w:pStyle w:val="Normal"/>
        <w:rPr>
          <w:lang w:val="uk-UA"/>
        </w:rPr>
      </w:pPr>
      <w:r>
        <w:rPr>
          <w:lang w:val="uk-UA"/>
        </w:rPr>
        <w:t>1)Найменування Замовника: ПМКП «Житлкомсервіс»</w:t>
      </w:r>
    </w:p>
    <w:p>
      <w:pPr>
        <w:pStyle w:val="Normal"/>
        <w:rPr>
          <w:lang w:val="uk-UA"/>
        </w:rPr>
      </w:pPr>
      <w:r>
        <w:rPr>
          <w:lang w:val="uk-UA"/>
        </w:rPr>
        <w:t>2)Код згідно ЄДРПОУ : 41230763</w:t>
      </w:r>
    </w:p>
    <w:tbl>
      <w:tblPr>
        <w:tblW w:w="15017" w:type="dxa"/>
        <w:jc w:val="left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04"/>
        <w:gridCol w:w="2353"/>
        <w:gridCol w:w="2165"/>
        <w:gridCol w:w="2109"/>
        <w:gridCol w:w="1803"/>
        <w:gridCol w:w="1541"/>
        <w:gridCol w:w="1641"/>
      </w:tblGrid>
      <w:tr>
        <w:trPr>
          <w:trHeight w:val="864" w:hRule="atLeast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Конкретна назва предмета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Код відповідних класифікаторів предмета закупівлі( за наявності)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Код КЕКВ( для бюджетних коштів)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Розмір бюджетного призначення за кошторисом або очікувана вартість предмета закупівлі(грн.)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Процедура закупівлі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Очікуваний початок проведення процедури закупівлі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>
        <w:trPr>
          <w:trHeight w:val="740" w:hRule="atLeast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Природний газ (для оплення )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09120000-6 (газове паливо)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2610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500000,00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Відкриті торги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Грудень2018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Переговорна процедура</w:t>
            </w:r>
          </w:p>
        </w:tc>
      </w:tr>
      <w:tr>
        <w:trPr>
          <w:trHeight w:val="596" w:hRule="atLeast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Послуги з розподілу природного газу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65210000-8(розподіл газу)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2610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33000,00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Прямий договір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Грудень2018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182" w:hRule="atLeast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Послуги з розподілу електричної енергії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65310000-9 (розподіл електричної енергії)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14700,00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Відкриті торги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Грудень20158 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Договір прямий</w:t>
            </w:r>
          </w:p>
        </w:tc>
      </w:tr>
      <w:tr>
        <w:trPr>
          <w:trHeight w:val="267" w:hRule="atLeast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Електрична енергія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09310000-5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800000,00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Відкриті торги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Грудень2018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Прямий договір</w:t>
            </w:r>
          </w:p>
        </w:tc>
      </w:tr>
      <w:tr>
        <w:trPr>
          <w:trHeight w:val="226" w:hRule="atLeast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Теплова енергія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09320000-8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2610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2847222,00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Переговорна процедура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Грудень 2018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29" w:hRule="atLeast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Послуги з санітарно –гігієнічної обробки приміщень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90920000-2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2610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18945,00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Прямий договір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Лютий 2019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226" w:hRule="atLeast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Послуги з обслуговування внутрішньо будинкових газових мереж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50530000-9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2610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20000,00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Прямий договір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Березень2019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226" w:hRule="atLeast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внутрішньо будинкової системи опалення в будівлі гуртожитку  вул Центральна,49/1, м.Покров 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45450000-6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3210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1107036,00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Відкриті торги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Квітень2019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246" w:hRule="atLeast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Придбання ноутбука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30210000-4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3210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11140,00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Прямий договір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val="uk-UA"/>
              </w:rPr>
            </w:pPr>
            <w:r>
              <w:rPr>
                <w:lang w:val="uk-UA"/>
              </w:rPr>
              <w:t>Квітень2019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224" w:hRule="atLeast"/>
        </w:trPr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lang w:val="uk-UA"/>
        </w:rPr>
        <w:t xml:space="preserve">                  </w:t>
      </w:r>
      <w:r>
        <w:rPr>
          <w:lang w:val="uk-UA"/>
        </w:rPr>
        <w:t>Директор ПМКП «Житлкомсервіс»                                               В.О.Міненко</w:t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22d2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CCFF-7624-469B-8768-5FF6DA05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LibreOffice/6.0.3.2$Linux_X86_64 LibreOffice_project/00m0$Build-2</Application>
  <Pages>2</Pages>
  <Words>164</Words>
  <Characters>1251</Characters>
  <CharactersWithSpaces>1468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2019-03-28T06:18:00Z</dcterms:created>
  <dc:creator>GTLX</dc:creator>
  <dc:description/>
  <dc:language>ru-RU</dc:language>
  <cp:lastModifiedBy>GTLX</cp:lastModifiedBy>
  <cp:lastPrinted>2019-03-28T07:01:00Z</cp:lastPrinted>
  <dcterms:modified xsi:type="dcterms:W3CDTF">2019-04-10T09:30:00Z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