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40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 Остання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наразі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договору дарування житлового будинку та земельних ділянок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року (зареєстровано в реєстрі за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матір вищевказаної дитини,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має на праві власності житловий будинок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LibreOffice/6.1.4.2$Windows_x86 LibreOffice_project/9d0f32d1f0b509096fd65e0d4bec26ddd1938fd3</Application>
  <Pages>1</Pages>
  <Words>283</Words>
  <Characters>2012</Characters>
  <CharactersWithSpaces>2448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2023-12-27T15:08:26Z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