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0" allowOverlap="1" relativeHeight="4">
                <wp:simplePos x="0" y="0"/>
                <wp:positionH relativeFrom="column">
                  <wp:posOffset>3308985</wp:posOffset>
                </wp:positionH>
                <wp:positionV relativeFrom="paragraph">
                  <wp:posOffset>-342900</wp:posOffset>
                </wp:positionV>
                <wp:extent cx="2820670" cy="527685"/>
                <wp:effectExtent l="0" t="0" r="0" b="0"/>
                <wp:wrapNone/>
                <wp:docPr id="1" name="Врезка1"/>
                <a:graphic xmlns:a="http://schemas.openxmlformats.org/drawingml/2006/main">
                  <a:graphicData uri="http://schemas.microsoft.com/office/word/2010/wordprocessingShape">
                    <wps:wsp>
                      <wps:cNvSpPr/>
                      <wps:spPr>
                        <a:xfrm>
                          <a:off x="0" y="0"/>
                          <a:ext cx="2819880" cy="527040"/>
                        </a:xfrm>
                        <a:prstGeom prst="rect">
                          <a:avLst/>
                        </a:prstGeom>
                        <a:noFill/>
                        <a:ln w="0">
                          <a:noFill/>
                        </a:ln>
                      </wps:spPr>
                      <wps:style>
                        <a:lnRef idx="0"/>
                        <a:fillRef idx="0"/>
                        <a:effectRef idx="0"/>
                        <a:fontRef idx="minor"/>
                      </wps:style>
                      <wps:txbx>
                        <w:txbxContent>
                          <w:p>
                            <w:pPr>
                              <w:pStyle w:val="Style21"/>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1"/>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№120 від 24.</w:t>
                            </w:r>
                            <w:r>
                              <w:rPr>
                                <w:rFonts w:eastAsia="Calibri" w:cs="Times New Roman" w:ascii="Times New Roman" w:hAnsi="Times New Roman"/>
                                <w:b/>
                                <w:bCs/>
                                <w:color w:val="C9211E"/>
                                <w:kern w:val="0"/>
                                <w:sz w:val="22"/>
                                <w:szCs w:val="22"/>
                                <w:lang w:val="ru-RU" w:eastAsia="ru-RU" w:bidi="ar-SA"/>
                              </w:rPr>
                              <w:t>03</w:t>
                            </w:r>
                            <w:r>
                              <w:rPr>
                                <w:rFonts w:eastAsia="Calibri" w:cs="Times New Roman" w:ascii="Times New Roman" w:hAnsi="Times New Roman"/>
                                <w:b/>
                                <w:bCs/>
                                <w:color w:val="C9211E"/>
                                <w:kern w:val="0"/>
                                <w:sz w:val="22"/>
                                <w:szCs w:val="22"/>
                                <w:lang w:val="ru-RU" w:eastAsia="ru-RU" w:bidi="ar-SA"/>
                              </w:rPr>
                              <w:t>.21 р.</w:t>
                            </w:r>
                          </w:p>
                          <w:p>
                            <w:pPr>
                              <w:pStyle w:val="Style21"/>
                              <w:overflowPunct w:val="false"/>
                              <w:spacing w:before="0" w:after="200"/>
                              <w:rPr/>
                            </w:pPr>
                            <w:r>
                              <w:rPr/>
                            </w:r>
                          </w:p>
                        </w:txbxContent>
                      </wps:txbx>
                      <wps:bodyPr lIns="1800" rIns="1800" tIns="1800" bIns="1800">
                        <a:noAutofit/>
                      </wps:bodyPr>
                    </wps:wsp>
                  </a:graphicData>
                </a:graphic>
              </wp:anchor>
            </w:drawing>
          </mc:Choice>
          <mc:Fallback>
            <w:pict>
              <v:rect id="shape_0" ID="Врезка1" fillcolor="white" stroked="f" style="position:absolute;margin-left:260.55pt;margin-top:-27pt;width:222pt;height:41.45pt;mso-wrap-style:square;v-text-anchor:top">
                <v:fill o:detectmouseclick="t" type="solid" color2="black" opacity="0"/>
                <v:stroke color="#3465a4" joinstyle="round" endcap="flat"/>
                <v:textbox>
                  <w:txbxContent>
                    <w:p>
                      <w:pPr>
                        <w:pStyle w:val="Style21"/>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1"/>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№120 від 24.</w:t>
                      </w:r>
                      <w:r>
                        <w:rPr>
                          <w:rFonts w:eastAsia="Calibri" w:cs="Times New Roman" w:ascii="Times New Roman" w:hAnsi="Times New Roman"/>
                          <w:b/>
                          <w:bCs/>
                          <w:color w:val="C9211E"/>
                          <w:kern w:val="0"/>
                          <w:sz w:val="22"/>
                          <w:szCs w:val="22"/>
                          <w:lang w:val="ru-RU" w:eastAsia="ru-RU" w:bidi="ar-SA"/>
                        </w:rPr>
                        <w:t>03</w:t>
                      </w:r>
                      <w:r>
                        <w:rPr>
                          <w:rFonts w:eastAsia="Calibri" w:cs="Times New Roman" w:ascii="Times New Roman" w:hAnsi="Times New Roman"/>
                          <w:b/>
                          <w:bCs/>
                          <w:color w:val="C9211E"/>
                          <w:kern w:val="0"/>
                          <w:sz w:val="22"/>
                          <w:szCs w:val="22"/>
                          <w:lang w:val="ru-RU" w:eastAsia="ru-RU" w:bidi="ar-SA"/>
                        </w:rPr>
                        <w:t>.21 р.</w:t>
                      </w:r>
                    </w:p>
                    <w:p>
                      <w:pPr>
                        <w:pStyle w:val="Style21"/>
                        <w:overflowPunct w:val="fals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8pt,2.3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16"/>
          <w:szCs w:val="16"/>
          <w:lang w:val="uk-UA" w:eastAsia="zh-CN"/>
        </w:rPr>
      </w:pPr>
      <w:r>
        <w:rPr>
          <w:rFonts w:eastAsia="Times New Roman" w:cs="Times New Roman" w:ascii="Times New Roman" w:hAnsi="Times New Roman"/>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26 лютого 2020 року                            м.Покров                                               № 79/1</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Про погодження місця розміщення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групи тимчасових споруд в районі </w:t>
      </w:r>
    </w:p>
    <w:p>
      <w:pPr>
        <w:pStyle w:val="NoSpacing"/>
        <w:rPr>
          <w:rFonts w:ascii="Times New Roman" w:hAnsi="Times New Roman" w:cs="Times New Roman"/>
          <w:color w:val="FF0000"/>
          <w:sz w:val="27"/>
          <w:szCs w:val="27"/>
          <w:lang w:val="uk-UA"/>
        </w:rPr>
      </w:pPr>
      <w:r>
        <w:rPr>
          <w:rFonts w:cs="Times New Roman" w:ascii="Times New Roman" w:hAnsi="Times New Roman"/>
          <w:sz w:val="27"/>
          <w:szCs w:val="27"/>
          <w:lang w:val="uk-UA"/>
        </w:rPr>
        <w:t xml:space="preserve">будинку № 4 по вул. Героїв України </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Малиновської Лариси Вікторівни щодо погодження місця розміщення групи тимчасових споруд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в районі будинку № 4 по вул. Героїв України,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7"/>
          <w:szCs w:val="27"/>
          <w:lang w:val="uk-UA"/>
        </w:rPr>
        <w:t xml:space="preserve"> 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r>
    </w:p>
    <w:p>
      <w:pPr>
        <w:pStyle w:val="NoSpacing"/>
        <w:ind w:firstLine="708"/>
        <w:jc w:val="both"/>
        <w:rPr>
          <w:rFonts w:ascii="Times New Roman" w:hAnsi="Times New Roman" w:cs="Times New Roman"/>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Малиновській Ларисі Вікторівні </w:t>
      </w:r>
      <w:r>
        <w:rPr>
          <w:rFonts w:cs="Times New Roman" w:ascii="Times New Roman" w:hAnsi="Times New Roman"/>
          <w:bCs/>
          <w:sz w:val="27"/>
          <w:szCs w:val="27"/>
          <w:lang w:val="uk-UA"/>
        </w:rPr>
        <w:t xml:space="preserve">місце розміщення групи тимчасових споруд (ТС) для провадження підприємницької діяльності </w:t>
      </w:r>
      <w:r>
        <w:rPr>
          <w:rFonts w:cs="Times New Roman" w:ascii="Times New Roman" w:hAnsi="Times New Roman"/>
          <w:sz w:val="27"/>
          <w:szCs w:val="27"/>
          <w:lang w:val="uk-UA"/>
        </w:rPr>
        <w:t>в районі будинку № 4 по вул. Героїв України</w:t>
      </w:r>
      <w:r>
        <w:rPr>
          <w:rFonts w:cs="Times New Roman" w:ascii="Times New Roman" w:hAnsi="Times New Roman"/>
          <w:bCs/>
          <w:sz w:val="27"/>
          <w:szCs w:val="27"/>
          <w:lang w:val="uk-UA"/>
        </w:rPr>
        <w:t xml:space="preserve"> на термін користування до 01.03.2022.</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 xml:space="preserve">2. Зобов’язати Малиновську Л.В. </w:t>
      </w:r>
      <w:r>
        <w:rPr>
          <w:rFonts w:cs="Times New Roman" w:ascii="Times New Roman" w:hAnsi="Times New Roman"/>
          <w:bCs/>
          <w:sz w:val="27"/>
          <w:szCs w:val="27"/>
          <w:lang w:val="uk-UA" w:eastAsia="ar-SA"/>
        </w:rPr>
        <w:t>в термін до 10.03.2020:</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Паспорт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 Попередити Малиновську Л.В</w:t>
      </w:r>
      <w:r>
        <w:rPr>
          <w:rFonts w:cs="Times New Roman" w:ascii="Times New Roman" w:hAnsi="Times New Roman"/>
          <w:sz w:val="27"/>
          <w:szCs w:val="27"/>
          <w:lang w:val="uk-UA" w:eastAsia="ar-SA"/>
        </w:rPr>
        <w:t>.</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3.2. При умові недотримання вимог Паспорту прив’язки та договору про користування місцем розташування групи тимчасових споруд, тимчасові споруди підлягають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 рішення № ___ від ______ 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4819"/>
        <w:gridCol w:w="4826"/>
      </w:tblGrid>
      <w:tr>
        <w:trPr/>
        <w:tc>
          <w:tcPr>
            <w:tcW w:w="4819" w:type="dxa"/>
            <w:tcBorders>
              <w:top w:val="single" w:sz="4" w:space="0" w:color="000000"/>
              <w:left w:val="single" w:sz="4" w:space="0" w:color="000000"/>
              <w:bottom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
    </w:p>
    <w:sectPr>
      <w:type w:val="nextPage"/>
      <w:pgSz w:w="11906" w:h="16838"/>
      <w:pgMar w:left="1701" w:right="850" w:header="0" w:top="993"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LibreOffice/7.0.3.1$Linux_X86_64 LibreOffice_project/00$Build-1</Application>
  <Pages>4</Pages>
  <Words>1593</Words>
  <Characters>10921</Characters>
  <CharactersWithSpaces>12912</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2020-03-04T08:34:00Z</dcterms:created>
  <dc:creator>digital_PC</dc:creator>
  <dc:description/>
  <dc:language>ru-RU</dc:language>
  <cp:lastModifiedBy/>
  <cp:lastPrinted>2020-03-12T12:26:00Z</cp:lastPrinted>
  <dcterms:modified xsi:type="dcterms:W3CDTF">2021-08-20T14:51:41Z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