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95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Style18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Про затвердження протоколу №5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  <w:bookmarkStart w:id="0" w:name="_Hlk139444714"/>
      <w:bookmarkEnd w:id="0"/>
    </w:p>
    <w:p>
      <w:pPr>
        <w:pStyle w:val="Normal"/>
        <w:spacing w:lineRule="auto" w:line="240" w:before="0" w:after="143"/>
        <w:ind w:firstLine="708"/>
        <w:jc w:val="both"/>
        <w:rPr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Керуючись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підпунктом 4 пункту «б» ст.34 Закону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26.05.2021 №615 «Деякі питання забезпечення дітей-сиріт, дітей, позбавлених батьківського піклування, осіб з їх числа житлом та підтримки малих групових будинків», </w:t>
      </w:r>
      <w:r>
        <w:rPr>
          <w:rFonts w:cs="Times New Roman" w:ascii="Times New Roman" w:hAnsi="Times New Roman"/>
          <w:color w:val="000000"/>
          <w:sz w:val="27"/>
          <w:szCs w:val="27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rPr>
          <w:sz w:val="27"/>
          <w:szCs w:val="27"/>
        </w:rPr>
      </w:pPr>
      <w:r>
        <w:rPr>
          <w:rFonts w:cs="Times New Roman" w:ascii="Times New Roman" w:hAnsi="Times New Roman"/>
          <w:b/>
          <w:color w:val="000000"/>
          <w:sz w:val="27"/>
          <w:szCs w:val="27"/>
        </w:rPr>
        <w:t>ВИРІШИВ:</w:t>
      </w:r>
    </w:p>
    <w:p>
      <w:pPr>
        <w:pStyle w:val="Normal"/>
        <w:spacing w:lineRule="auto" w:line="240" w:before="0" w:after="86"/>
        <w:ind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1.Затвердити протокол №5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(далі засідання місцевої комісії), що додається.</w:t>
      </w:r>
    </w:p>
    <w:p>
      <w:pPr>
        <w:pStyle w:val="Normal"/>
        <w:spacing w:lineRule="auto" w:line="240" w:before="240" w:after="0"/>
        <w:ind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2.Службі у справах дітей виконавчого комітету 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lang w:eastAsia="ru-RU"/>
        </w:rPr>
        <w:t xml:space="preserve">Покровської міської ради Дніпропетровської області – один примірник протоколу №5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засідання місцевої комісії, затвердженого рішенням 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7"/>
          <w:szCs w:val="27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3.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(ГОРЧАКОВУ Дар'ю), контроль - на заступника міського голови ВІДЯЄВУ Ганну.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character" w:styleId="Style16" w:customStyle="1">
    <w:name w:val="Символ нумерации"/>
    <w:qFormat/>
    <w:rPr/>
  </w:style>
  <w:style w:type="character" w:styleId="ListLabel73" w:customStyle="1">
    <w:name w:val="ListLabel 73"/>
    <w:qFormat/>
    <w:rPr>
      <w:rFonts w:cs="Symbol"/>
      <w:sz w:val="28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  <w:b w:val="false"/>
      <w:sz w:val="28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 w:customStyle="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LibreOffice/6.1.4.2$Windows_x86 LibreOffice_project/9d0f32d1f0b509096fd65e0d4bec26ddd1938fd3</Application>
  <Pages>1</Pages>
  <Words>265</Words>
  <Characters>1936</Characters>
  <CharactersWithSpaces>2287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2023-10-05T05:12:00Z</dcterms:created>
  <dc:creator>Покров Виконком</dc:creator>
  <dc:description/>
  <dc:language>uk-UA</dc:language>
  <cp:lastModifiedBy/>
  <cp:lastPrinted>1995-11-21T15:41:00Z</cp:lastPrinted>
  <dcterms:modified xsi:type="dcterms:W3CDTF">2023-12-13T12:53:20Z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