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 </w:t>
      </w:r>
    </w:p>
    <w:tbl>
      <w:tblPr>
        <w:tblW w:w="10315"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5353"/>
        <w:gridCol w:w="4961"/>
      </w:tblGrid>
      <w:tr>
        <w:trPr>
          <w:trHeight w:val="1571" w:hRule="atLeast"/>
        </w:trPr>
        <w:tc>
          <w:tcPr>
            <w:tcW w:w="5353" w:type="dxa"/>
            <w:tcBorders/>
            <w:shd w:color="auto" w:fill="auto" w:val="clear"/>
          </w:tcPr>
          <w:p>
            <w:pPr>
              <w:pStyle w:val="Normal"/>
              <w:widowControl w:val="false"/>
              <w:rPr>
                <w:lang w:val="uk-UA"/>
              </w:rPr>
            </w:pPr>
            <w:r>
              <w:rPr>
                <w:lang w:val="uk-UA"/>
              </w:rPr>
            </w:r>
          </w:p>
        </w:tc>
        <w:tc>
          <w:tcPr>
            <w:tcW w:w="4961" w:type="dxa"/>
            <w:tcBorders/>
            <w:shd w:color="auto" w:fill="auto" w:val="clear"/>
          </w:tcPr>
          <w:p>
            <w:pPr>
              <w:pStyle w:val="Normal"/>
              <w:widowControl w:val="false"/>
              <w:rPr>
                <w:b/>
                <w:b/>
                <w:lang w:val="uk-UA"/>
              </w:rPr>
            </w:pPr>
            <w:r>
              <w:rPr>
                <w:b/>
                <w:lang w:val="uk-UA"/>
              </w:rPr>
              <w:t>ЗАТВЕРДЖЕНО</w:t>
            </w:r>
          </w:p>
          <w:p>
            <w:pPr>
              <w:pStyle w:val="Normal"/>
              <w:widowControl w:val="false"/>
              <w:rPr>
                <w:lang w:val="uk-UA"/>
              </w:rPr>
            </w:pPr>
            <w:r>
              <w:rPr>
                <w:color w:val="2F2F2F"/>
                <w:lang w:val="uk-UA"/>
              </w:rPr>
              <w:t>Рішення виконавчого комітету</w:t>
            </w:r>
            <w:bookmarkStart w:id="0" w:name="_Hlk157529436"/>
            <w:bookmarkEnd w:id="0"/>
          </w:p>
          <w:p>
            <w:pPr>
              <w:pStyle w:val="Normal"/>
              <w:widowControl w:val="false"/>
              <w:rPr/>
            </w:pPr>
            <w:r>
              <w:rPr>
                <w:lang w:val="uk-UA"/>
              </w:rPr>
              <w:t>Покровської міської ради</w:t>
            </w:r>
          </w:p>
          <w:p>
            <w:pPr>
              <w:pStyle w:val="Normal"/>
              <w:widowControl w:val="false"/>
              <w:rPr>
                <w:lang w:val="uk-UA"/>
              </w:rPr>
            </w:pPr>
            <w:r>
              <w:rPr>
                <w:lang w:val="uk-UA"/>
              </w:rPr>
              <w:t>27.11.2024 № 784/06-53-24</w:t>
            </w:r>
          </w:p>
        </w:tc>
      </w:tr>
    </w:tbl>
    <w:p>
      <w:pPr>
        <w:pStyle w:val="Normal"/>
        <w:jc w:val="center"/>
        <w:rPr>
          <w:b/>
          <w:b/>
          <w:lang w:val="uk-UA"/>
        </w:rPr>
      </w:pPr>
      <w:r>
        <w:rPr>
          <w:b/>
          <w:lang w:val="uk-UA"/>
        </w:rPr>
        <w:t>ІНФОРМАЦІЙНА КАРТКА адміністративної послуги №08-65.1</w:t>
      </w:r>
    </w:p>
    <w:p>
      <w:pPr>
        <w:pStyle w:val="Normal"/>
        <w:rPr>
          <w:b/>
          <w:b/>
          <w:lang w:val="uk-UA"/>
        </w:rPr>
      </w:pPr>
      <w:r>
        <w:rPr>
          <w:b/>
          <w:lang w:val="uk-UA"/>
        </w:rPr>
      </w:r>
    </w:p>
    <w:p>
      <w:pPr>
        <w:pStyle w:val="Normal"/>
        <w:jc w:val="center"/>
        <w:rPr>
          <w:bCs/>
          <w:i/>
          <w:i/>
          <w:iCs/>
          <w:lang w:val="uk-UA"/>
        </w:rPr>
      </w:pPr>
      <w:r>
        <w:rPr>
          <w:b/>
          <w:lang w:val="uk-UA"/>
        </w:rPr>
        <w:t xml:space="preserve">ВСТАНОВЛЕННЯ СТАТУСУ ОСОБИ З ІНВАЛІДНІСТЮ ВНАСЛІДОК ВІЙНИ, ВИДАЧА ПОСВІДЧЕННЯ/ДОВІДКИ, ПРОДОВЖЕННЯ СТРОКУ ДІЇ ПОСВІДЧЕННЯ (ВКЛЕЮВАННЯ БЛАНКА-ВКЛАДКИ) </w:t>
      </w:r>
    </w:p>
    <w:p>
      <w:pPr>
        <w:pStyle w:val="Normal"/>
        <w:jc w:val="center"/>
        <w:rPr>
          <w:b/>
          <w:b/>
          <w:bCs/>
          <w:lang w:val="uk-UA"/>
        </w:rPr>
      </w:pPr>
      <w:r>
        <w:rPr>
          <w:b/>
          <w:bCs/>
          <w:u w:val="single"/>
          <w:lang w:val="uk-UA"/>
        </w:rPr>
        <w:t>Управління праці та соціального захисту населення виконавчого комітету</w:t>
      </w:r>
      <w:r>
        <w:rPr>
          <w:b/>
          <w:bCs/>
          <w:lang w:val="uk-UA"/>
        </w:rPr>
        <w:t xml:space="preserve"> </w:t>
      </w:r>
      <w:r>
        <w:rPr>
          <w:b/>
          <w:bCs/>
          <w:u w:val="single"/>
          <w:lang w:val="uk-UA"/>
        </w:rPr>
        <w:t>Покровської міської ради Дніпропетровської області</w:t>
      </w:r>
    </w:p>
    <w:p>
      <w:pPr>
        <w:pStyle w:val="Normal"/>
        <w:jc w:val="center"/>
        <w:rPr>
          <w:lang w:val="uk-UA"/>
        </w:rPr>
      </w:pPr>
      <w:r>
        <w:rPr>
          <w:lang w:val="uk-UA"/>
        </w:rPr>
        <w:t>(</w:t>
      </w:r>
      <w:r>
        <w:rPr>
          <w:bCs/>
          <w:i/>
          <w:iCs/>
          <w:lang w:val="uk-UA"/>
        </w:rPr>
        <w:t>найменування суб’єкта надання адміністративної послуги</w:t>
      </w:r>
      <w:r>
        <w:rPr>
          <w:lang w:val="uk-UA"/>
        </w:rPr>
        <w:t>)</w:t>
      </w:r>
    </w:p>
    <w:p>
      <w:pPr>
        <w:pStyle w:val="Normal"/>
        <w:jc w:val="center"/>
        <w:rPr>
          <w:lang w:val="uk-UA"/>
        </w:rPr>
      </w:pPr>
      <w:r>
        <w:rPr>
          <w:lang w:val="uk-UA"/>
        </w:rPr>
      </w:r>
    </w:p>
    <w:p>
      <w:pPr>
        <w:pStyle w:val="Normal"/>
        <w:jc w:val="center"/>
        <w:rPr>
          <w:bCs/>
          <w:i/>
          <w:i/>
          <w:iCs/>
          <w:lang w:val="uk-UA"/>
        </w:rPr>
      </w:pPr>
      <w:r>
        <w:rPr>
          <w:bCs/>
          <w:sz w:val="26"/>
          <w:szCs w:val="26"/>
          <w:lang w:val="uk-UA"/>
        </w:rPr>
        <w:t>_________________________________</w:t>
      </w:r>
      <w:r>
        <w:rPr>
          <w:bCs/>
          <w:u w:val="single"/>
          <w:lang w:val="uk-UA"/>
        </w:rPr>
        <w:t>00241</w:t>
      </w:r>
      <w:r>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pPr>
        <w:pStyle w:val="Normal"/>
        <w:rPr>
          <w:sz w:val="20"/>
          <w:szCs w:val="20"/>
          <w:highlight w:val="yellow"/>
          <w:lang w:val="uk-UA"/>
        </w:rPr>
      </w:pPr>
      <w:r>
        <w:rPr>
          <w:sz w:val="20"/>
          <w:szCs w:val="20"/>
          <w:highlight w:val="yellow"/>
          <w:lang w:val="uk-UA"/>
        </w:rPr>
      </w:r>
    </w:p>
    <w:p>
      <w:pPr>
        <w:pStyle w:val="Normal"/>
        <w:rPr>
          <w:sz w:val="20"/>
          <w:szCs w:val="20"/>
          <w:highlight w:val="yellow"/>
          <w:lang w:val="uk-UA"/>
        </w:rPr>
      </w:pPr>
      <w:r>
        <w:rPr>
          <w:sz w:val="20"/>
          <w:szCs w:val="20"/>
          <w:highlight w:val="yellow"/>
          <w:lang w:val="uk-UA"/>
        </w:rPr>
      </w:r>
      <w:bookmarkStart w:id="1" w:name="_Hlk157529416"/>
      <w:bookmarkStart w:id="2" w:name="_Hlk157529416"/>
      <w:bookmarkEnd w:id="2"/>
    </w:p>
    <w:tbl>
      <w:tblPr>
        <w:tblpPr w:bottomFromText="0" w:horzAnchor="text" w:leftFromText="180" w:rightFromText="180" w:tblpX="0" w:tblpY="1" w:topFromText="0" w:vertAnchor="text"/>
        <w:tblW w:w="9592"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2"/>
        <w:gridCol w:w="2679"/>
        <w:gridCol w:w="861"/>
        <w:gridCol w:w="1255"/>
        <w:gridCol w:w="2066"/>
        <w:gridCol w:w="1883"/>
        <w:gridCol w:w="235"/>
      </w:tblGrid>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7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pPr>
            <w:r>
              <w:rPr/>
              <w:t>53300</w:t>
            </w:r>
            <w:r>
              <w:rPr>
                <w:lang w:val="uk-UA"/>
              </w:rPr>
              <w:t>, Дніпропетровська обл., Нікопольський район,  м. Покров, вул.  Залужного, 5</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7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 xml:space="preserve">Понеділок: з </w:t>
            </w:r>
            <w:r>
              <w:rPr>
                <w:u w:val="single"/>
                <w:lang w:val="uk-UA"/>
              </w:rPr>
              <w:t>8.00</w:t>
            </w:r>
            <w:r>
              <w:rPr>
                <w:lang w:val="uk-UA"/>
              </w:rPr>
              <w:t xml:space="preserve"> до </w:t>
            </w:r>
            <w:r>
              <w:rPr>
                <w:u w:val="single"/>
                <w:lang w:val="uk-UA"/>
              </w:rPr>
              <w:t>17.00</w:t>
            </w:r>
          </w:p>
          <w:p>
            <w:pPr>
              <w:pStyle w:val="Normal"/>
              <w:widowControl w:val="false"/>
              <w:spacing w:lineRule="exact" w:line="300"/>
              <w:ind w:right="282" w:hanging="0"/>
              <w:rPr>
                <w:lang w:val="uk-UA"/>
              </w:rPr>
            </w:pPr>
            <w:r>
              <w:rPr>
                <w:lang w:val="uk-UA"/>
              </w:rPr>
              <w:t xml:space="preserve">Вівторок: </w:t>
            </w:r>
            <w:r>
              <w:rPr/>
              <w:t xml:space="preserve"> </w:t>
            </w:r>
            <w:r>
              <w:rPr>
                <w:lang w:val="uk-UA"/>
              </w:rPr>
              <w:t xml:space="preserve">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Середа: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Четвер: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П’ятниця:    з </w:t>
            </w:r>
            <w:r>
              <w:rPr>
                <w:u w:val="single"/>
                <w:lang w:val="uk-UA"/>
              </w:rPr>
              <w:t>8.00</w:t>
            </w:r>
            <w:r>
              <w:rPr>
                <w:lang w:val="uk-UA"/>
              </w:rPr>
              <w:t xml:space="preserve"> до </w:t>
            </w:r>
            <w:r>
              <w:rPr>
                <w:u w:val="single"/>
                <w:lang w:val="uk-UA"/>
              </w:rPr>
              <w:t>16.00</w:t>
            </w:r>
          </w:p>
          <w:p>
            <w:pPr>
              <w:pStyle w:val="Normal"/>
              <w:widowControl w:val="false"/>
              <w:spacing w:lineRule="exact" w:line="300"/>
              <w:rPr>
                <w:lang w:val="uk-UA"/>
              </w:rPr>
            </w:pPr>
            <w:r>
              <w:rPr>
                <w:lang w:val="uk-UA"/>
              </w:rPr>
              <w:t>Перерва:</w:t>
            </w:r>
          </w:p>
          <w:p>
            <w:pPr>
              <w:pStyle w:val="Normal"/>
              <w:widowControl w:val="false"/>
              <w:spacing w:lineRule="exact" w:line="300"/>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pPr>
              <w:pStyle w:val="Normal"/>
              <w:widowControl w:val="false"/>
              <w:spacing w:lineRule="exact" w:line="300"/>
              <w:rPr>
                <w:lang w:val="uk-UA"/>
              </w:rPr>
            </w:pPr>
            <w:r>
              <w:rPr>
                <w:lang w:val="uk-UA"/>
              </w:rPr>
              <w:t xml:space="preserve">п’ятниця з </w:t>
            </w:r>
            <w:r>
              <w:rPr>
                <w:u w:val="single"/>
                <w:lang w:val="uk-UA"/>
              </w:rPr>
              <w:t>12.00</w:t>
            </w:r>
            <w:r>
              <w:rPr>
                <w:lang w:val="uk-UA"/>
              </w:rPr>
              <w:t xml:space="preserve"> до </w:t>
            </w:r>
            <w:r>
              <w:rPr>
                <w:u w:val="single"/>
                <w:lang w:val="uk-UA"/>
              </w:rPr>
              <w:t>13.00</w:t>
            </w:r>
          </w:p>
          <w:p>
            <w:pPr>
              <w:pStyle w:val="Normal"/>
              <w:widowControl w:val="false"/>
              <w:spacing w:lineRule="exact" w:line="300"/>
              <w:rPr/>
            </w:pPr>
            <w:r>
              <w:rPr>
                <w:lang w:val="uk-UA"/>
              </w:rPr>
              <w:t>Вихідний день: субота, неділя</w:t>
            </w:r>
          </w:p>
          <w:p>
            <w:pPr>
              <w:pStyle w:val="Normal"/>
              <w:widowControl w:val="false"/>
              <w:tabs>
                <w:tab w:val="clear" w:pos="708"/>
                <w:tab w:val="left" w:pos="6270" w:leader="none"/>
              </w:tabs>
              <w:ind w:firstLine="28"/>
              <w:rPr>
                <w:rStyle w:val="2"/>
                <w:b w:val="false"/>
                <w:b w:val="false"/>
                <w:bCs w:val="false"/>
                <w:sz w:val="10"/>
                <w:szCs w:val="10"/>
              </w:rPr>
            </w:pPr>
            <w:r>
              <w:rPr>
                <w:b w:val="false"/>
                <w:bCs w:val="false"/>
                <w:sz w:val="10"/>
                <w:szCs w:val="10"/>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7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Style w:val="2"/>
                <w:b w:val="false"/>
                <w:b w:val="false"/>
                <w:bCs w:val="false"/>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телефон: 0931219088</w:t>
            </w:r>
          </w:p>
          <w:p>
            <w:pPr>
              <w:pStyle w:val="Normal"/>
              <w:widowControl w:val="false"/>
              <w:spacing w:lineRule="exact" w:line="300"/>
              <w:rPr>
                <w:lang w:val="uk-UA"/>
              </w:rPr>
            </w:pPr>
            <w:r>
              <w:rPr>
                <w:lang w:val="uk-UA"/>
              </w:rPr>
              <w:t>e</w:t>
            </w:r>
            <w:r>
              <w:rPr>
                <w:spacing w:val="-1"/>
                <w:lang w:val="uk-UA"/>
              </w:rPr>
              <w:t>-mail: upszn@pokrov-mr.gov.ua</w:t>
            </w:r>
          </w:p>
          <w:p>
            <w:pPr>
              <w:pStyle w:val="Normal"/>
              <w:widowControl w:val="false"/>
              <w:spacing w:lineRule="exact" w:line="300"/>
              <w:rPr>
                <w:rStyle w:val="2"/>
                <w:b w:val="false"/>
                <w:b w:val="false"/>
                <w:bCs w:val="false"/>
              </w:rPr>
            </w:pPr>
            <w:r>
              <w:rPr>
                <w:lang w:val="uk-UA"/>
              </w:rPr>
              <w:t>http://www.pkrv.dp.gov.ua</w:t>
            </w:r>
          </w:p>
        </w:tc>
      </w:tr>
      <w:tr>
        <w:trPr>
          <w:trHeight w:val="494"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bCs w:val="false"/>
              </w:rPr>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spacing w:val="-2"/>
              </w:rPr>
              <w:t>Найменування ЦНАП (його ТП та/або ВРМ)</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79" w:right="-135" w:hanging="0"/>
              <w:jc w:val="center"/>
              <w:rPr>
                <w:bCs/>
              </w:rPr>
            </w:pPr>
            <w:r>
              <w:rPr>
                <w:rStyle w:val="2"/>
                <w:bCs w:val="false"/>
              </w:rPr>
              <w:t xml:space="preserve">Місцезнаходження ЦНАП </w:t>
            </w:r>
            <w:r>
              <w:rPr>
                <w:bCs/>
                <w:spacing w:val="-2"/>
              </w:rPr>
              <w:t>(його ТП та/або ВРМ)</w:t>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*Інформація щодо режиму роботи ЦНАП</w:t>
            </w:r>
            <w:r>
              <w:rPr>
                <w:bCs/>
                <w:spacing w:val="-2"/>
              </w:rPr>
              <w:t xml:space="preserve"> (його ТП та/або ВРМ)</w:t>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2.1</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Центр надання адміністративних послуг виконавчого комітету Покровської міської ради</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область, Нікопольський район, м. Покров,  вул. Центральна, 48</w:t>
            </w:r>
          </w:p>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(063)4637783</w:t>
            </w:r>
          </w:p>
          <w:p>
            <w:pPr>
              <w:pStyle w:val="TableParagraph"/>
              <w:widowControl w:val="false"/>
              <w:jc w:val="center"/>
              <w:rPr>
                <w:sz w:val="24"/>
              </w:rPr>
            </w:pPr>
            <w:r>
              <w:rPr>
                <w:sz w:val="24"/>
              </w:rPr>
              <w:t>cnap@pokrov-mr.gov.ua</w:t>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lang w:val="uk-UA"/>
              </w:rPr>
            </w:pPr>
            <w:r>
              <w:rPr>
                <w:lang w:val="uk-UA"/>
              </w:rPr>
              <w:t>ПН-ПТ 08.00-16.00</w:t>
            </w:r>
          </w:p>
          <w:p>
            <w:pPr>
              <w:pStyle w:val="Normal"/>
              <w:widowControl w:val="false"/>
              <w:spacing w:lineRule="exact" w:line="300"/>
              <w:jc w:val="center"/>
              <w:rPr>
                <w:lang w:val="uk-UA"/>
              </w:rPr>
            </w:pPr>
            <w:r>
              <w:rPr>
                <w:lang w:val="uk-UA"/>
              </w:rPr>
              <w:t>ВТ 08.00-20.00</w:t>
            </w:r>
          </w:p>
        </w:tc>
        <w:tc>
          <w:tcPr>
            <w:tcW w:w="235" w:type="dxa"/>
            <w:tcBorders/>
            <w:shd w:color="auto" w:fill="auto" w:val="clear"/>
          </w:tcPr>
          <w:p>
            <w:pPr>
              <w:pStyle w:val="Normal"/>
              <w:widowControl w:val="false"/>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2.2</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Віддалене робоче місце ЦНАП</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 Нікопольський район, м. Покров, вул.  Залужного, 5, кім. 13</w:t>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(063)0588481</w:t>
            </w:r>
          </w:p>
          <w:p>
            <w:pPr>
              <w:pStyle w:val="TableParagraph"/>
              <w:widowControl w:val="false"/>
              <w:jc w:val="center"/>
              <w:rPr>
                <w:sz w:val="24"/>
              </w:rPr>
            </w:pPr>
            <w:r>
              <w:rPr>
                <w:sz w:val="24"/>
              </w:rPr>
              <w:t>cnap@pokrov-mr.gov.ua</w:t>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ПН-ЧТ 08-16.00</w:t>
            </w:r>
          </w:p>
          <w:p>
            <w:pPr>
              <w:pStyle w:val="TableParagraph"/>
              <w:widowControl w:val="false"/>
              <w:jc w:val="center"/>
              <w:rPr>
                <w:sz w:val="24"/>
              </w:rPr>
            </w:pPr>
            <w:r>
              <w:rPr>
                <w:sz w:val="24"/>
              </w:rPr>
              <w:t>перерва 12.00-12.45</w:t>
            </w:r>
          </w:p>
          <w:p>
            <w:pPr>
              <w:pStyle w:val="TableParagraph"/>
              <w:widowControl w:val="false"/>
              <w:jc w:val="center"/>
              <w:rPr>
                <w:sz w:val="24"/>
              </w:rPr>
            </w:pPr>
            <w:r>
              <w:rPr>
                <w:sz w:val="24"/>
              </w:rPr>
              <w:t>ПТ 08.00-15.00</w:t>
            </w:r>
          </w:p>
          <w:p>
            <w:pPr>
              <w:pStyle w:val="TableParagraph"/>
              <w:widowControl w:val="false"/>
              <w:jc w:val="center"/>
              <w:rPr>
                <w:sz w:val="24"/>
              </w:rPr>
            </w:pPr>
            <w:r>
              <w:rPr>
                <w:sz w:val="24"/>
              </w:rPr>
              <w:t>перерва 12.00-13.00</w:t>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2.3</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4</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5</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rHeight w:val="165"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color w:val="000000"/>
                <w:lang w:val="uk-UA"/>
              </w:rPr>
              <w:t xml:space="preserve">    </w:t>
            </w:r>
            <w:r>
              <w:rPr>
                <w:lang w:val="uk-UA"/>
              </w:rPr>
              <w:t xml:space="preserve"> </w:t>
            </w:r>
            <w:r>
              <w:rPr>
                <w:lang w:val="uk-UA"/>
              </w:rPr>
              <w:t xml:space="preserve">Закон України «Про адміністративну процедуру», «Про адміністративні послуги», </w:t>
            </w:r>
            <w:r>
              <w:rPr/>
              <w:t xml:space="preserve"> </w:t>
            </w:r>
            <w:r>
              <w:rPr>
                <w:color w:val="000000"/>
                <w:lang w:val="uk-UA"/>
              </w:rPr>
              <w:t xml:space="preserve"> Закон України «Про статус ветеранів війни, гарантії їх соціального захисту» від 22.10.1993 № 3551-XII</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color w:val="000000"/>
                <w:lang w:val="uk-UA"/>
              </w:rPr>
              <w:t>Постанова Кабінету Міністрів України від 08.02.1994 № 63 «Про організаційні заходи щодо застосування Закону України «Про статус ветеранів війни, гарантії їх соціального захисту»; постанова Кабінету Міністрів України</w:t>
            </w:r>
            <w:r>
              <w:rPr>
                <w:lang w:val="uk-UA"/>
              </w:rPr>
              <w:br/>
            </w:r>
            <w:r>
              <w:rPr>
                <w:color w:val="000000"/>
                <w:lang w:val="uk-UA"/>
              </w:rPr>
              <w:t>від 12.05.1994 № 302 «Про порядок видачі посвідчень і нагрудних знаків ветеранів війни» (далі – Положення № 302);  постанова Кабінету Міністрів України від 08.09.2015 №</w:t>
            </w:r>
            <w:r>
              <w:rPr>
                <w:color w:val="000000"/>
              </w:rPr>
              <w:t> </w:t>
            </w:r>
            <w:r>
              <w:rPr>
                <w:color w:val="000000"/>
                <w:lang w:val="uk-UA"/>
              </w:rPr>
              <w:t>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 Порядок № 685);  постанова Кабінету Міністрів України від 03.12.2009 № 1317 «Питання медико-соціальної експертизи»;  постанова Кабінету Міністрів України від 21.11.2013 № 917 «Деякі питання встановлення лікарсько-консультативними комісіями інвалідності дітям»;  постанова Кабінету Міністрів України від 25.04.2018 № 306 «Деякі питання встановлення зв’язку інвалідності з пораненнями чи іншими ушкодженнями здоров’я».</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центральних органів виконавчої влади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місцевих органів виконавчої влади, органів місцевого самоврядування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Звернення особи, якій встановлена інвалідність внаслідок поранення, контузії, каліцтва або захворювання, одержаного:</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захисту Батьківщини, виконання обов’язків військової служби, пов’язаних з перебуванням на фронті в інші періоди, з</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ліквідацією наслідків Чорнобильської катастрофи, ядерних аварій, ядерних випробувань, з участю у військових навчаннях із застосуванням ядерної зброї, іншим ураженням ядерними матеріалами;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безпосередньої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перебування у державах, де в цей період велися бойові дії;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участі у масових акціях громадського протесту в Україні з 21 листопада 2013 року по 21 лютого 2014 року за євроінтеграцію та проти режиму Януковича (далі – Революція Гідності);</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участі у ліквідації наслідків Чорнобильської катастрофи у складі формувань Цивільної оборони;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загального захворювання або захворювання, отриманого під час проходження військової служби чи служби в органах внутрішніх справ, державної безпеки, інших військових формуваннях – для осіб, які брали безпосередню участь у бойових діях під час Другої світової війни, та осіб, які у неповнолітньому віці були призвані чи добровільно вступили до лав Радянської Армії і</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Військово-Морського Флоту під час військових призовів 1941-1945 років;</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виконання службових обов’язків у складі винищувальних батальйонів, взводів і загонів захисту народу у період з 22 червня 1941 року по 31 грудня 1954 року брали безпосередню участь у бойових операціях по ліквідації диверсійно-терористичних груп та інших незаконних формувань на території колишнього Союзу РСР;</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воєнних дій громадянської та Другої світової воєн або стали особами з інвалідністю із зазначених причин у неповнолітньому віці у воєнні та повоєнні роки;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поранень чи інших ушкоджень здоров’я, одержаних у районах бойових дій у період Другої світової війни та від вибухових</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речовин, боєприпасів і військового озброєння у повоєнний період;</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поранень чи інших ушкоджень здоров’я, одержаних від вибухових речовин, боєприпасів і військового озброєння на території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1 грудня 2014 року, з 1 грудня 2014 року до 24 лютого 2022 року – на території проведення антитерористичної операції,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де органи державної влади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здійснюють свої повноваження, та в населених пунктах, розташованих на лінії зіткнення, під час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 24 лютого 2022 року – на території проведення заходів, необхідних для</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виконання робіт, пов’язаних з розмінуванням боєприпасів, незалежно від часу їх виконання;</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виконання службових обов’язків з ліквідації наслідків Чорнобильської катастрофи, ядерних аварій, ядерних випробувань, участі у військових навчаннях із застосуванням ядерної зброї, інших уражень ядерними матеріалами – для осіб начальницького і рядового складу органів Міністерства внутрішніх справ і органів Комітету</w:t>
            </w:r>
          </w:p>
          <w:p>
            <w:pPr>
              <w:pStyle w:val="Normal"/>
              <w:widowControl w:val="false"/>
              <w:jc w:val="both"/>
              <w:rPr>
                <w:lang w:val="uk-UA"/>
              </w:rPr>
            </w:pPr>
            <w:r>
              <w:rPr>
                <w:rFonts w:eastAsia="Calibri" w:cs="TimesNewRomanPSMT" w:ascii="TimesNewRomanPSMT" w:hAnsi="TimesNewRomanPSMT" w:eastAsiaTheme="minorHAnsi"/>
                <w:lang w:val="uk-UA" w:eastAsia="en-US"/>
                <w14:ligatures w14:val="standardContextual"/>
              </w:rPr>
              <w:t>державної безпеки колишнього Союзу РСР, Міністерства внутрішніх справ України, Служби безпеки України, Служби зовнішньої розвідки України та інших військових формувань.</w:t>
            </w:r>
          </w:p>
          <w:p>
            <w:pPr>
              <w:pStyle w:val="Normal"/>
              <w:widowControl w:val="false"/>
              <w:ind w:firstLine="284"/>
              <w:jc w:val="both"/>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before="0" w:after="160"/>
              <w:ind w:left="60" w:right="60" w:firstLine="567"/>
              <w:jc w:val="both"/>
              <w:rPr>
                <w:rFonts w:ascii="Calibri" w:hAnsi="Calibri" w:eastAsia="Calibri" w:cs="Calibri"/>
                <w:color w:val="000000"/>
                <w:lang w:val="uk-UA"/>
              </w:rPr>
            </w:pPr>
            <w:r>
              <w:rPr>
                <w:b/>
                <w:color w:val="0D0D0D"/>
                <w:lang w:val="uk-UA"/>
              </w:rPr>
              <w:t>Для осіб, зазначених у пунктах 1-10 частини другої статті 7 Закону України «Про статус ветеранів війни, гарантії їх соціального захисту» (далі – Закон):</w:t>
            </w:r>
          </w:p>
          <w:p>
            <w:pPr>
              <w:pStyle w:val="Normal"/>
              <w:widowControl w:val="false"/>
              <w:numPr>
                <w:ilvl w:val="0"/>
                <w:numId w:val="1"/>
              </w:numPr>
              <w:spacing w:lineRule="auto" w:line="235"/>
              <w:ind w:left="60" w:right="30" w:firstLine="41"/>
              <w:jc w:val="both"/>
              <w:rPr>
                <w:rFonts w:ascii="Calibri" w:hAnsi="Calibri" w:eastAsia="Calibri" w:cs="Calibri"/>
                <w:color w:val="000000"/>
                <w:lang w:val="uk-UA"/>
              </w:rPr>
            </w:pPr>
            <w:r>
              <w:rPr>
                <w:color w:val="0D0D0D"/>
                <w:lang w:val="uk-UA"/>
              </w:rPr>
              <w:t>заява довільної форми до управління праці та соціального захисту населення (далі –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про надання статусу особи з інвалідністю внаслідок війни, видачу посвідчення/довідки, продовження строку дії посвідчення</w:t>
            </w:r>
            <w:r>
              <w:rPr>
                <w:b/>
                <w:color w:val="0D0D0D"/>
                <w:lang w:val="uk-UA"/>
              </w:rPr>
              <w:t xml:space="preserve"> </w:t>
            </w:r>
            <w:r>
              <w:rPr>
                <w:color w:val="0D0D0D"/>
                <w:lang w:val="uk-UA"/>
              </w:rPr>
              <w:t>у порядку визначеному Положенням № 302 (далі – заява довільної форми);</w:t>
            </w:r>
          </w:p>
          <w:p>
            <w:pPr>
              <w:pStyle w:val="ListParagraph"/>
              <w:widowControl w:val="false"/>
              <w:numPr>
                <w:ilvl w:val="0"/>
                <w:numId w:val="2"/>
              </w:numPr>
              <w:spacing w:lineRule="auto" w:line="235"/>
              <w:jc w:val="both"/>
              <w:rPr>
                <w:rFonts w:ascii="Calibri" w:hAnsi="Calibri" w:eastAsia="Calibri" w:cs="Calibri"/>
                <w:color w:val="000000"/>
                <w:lang w:val="uk-UA"/>
              </w:rPr>
            </w:pPr>
            <w:r>
              <w:rPr>
                <w:color w:val="0D0D0D"/>
                <w:lang w:val="uk-UA"/>
              </w:rPr>
              <w:t>копія довідки медико-соціальної експертної комісії про групу та причину інвалідності або висновку лікарсько-консультативної комісії  лікувально-профілактичного закладу про встановлення особі віком до 18 років категорії «дитина з інвалідністю»;</w:t>
            </w:r>
          </w:p>
          <w:p>
            <w:pPr>
              <w:pStyle w:val="Normal"/>
              <w:widowControl w:val="false"/>
              <w:numPr>
                <w:ilvl w:val="0"/>
                <w:numId w:val="2"/>
              </w:numPr>
              <w:spacing w:lineRule="auto" w:line="235"/>
              <w:ind w:right="60" w:hanging="0"/>
              <w:jc w:val="both"/>
              <w:rPr>
                <w:rFonts w:ascii="Calibri" w:hAnsi="Calibri" w:eastAsia="Calibri" w:cs="Calibri"/>
                <w:color w:val="000000"/>
                <w:lang w:val="uk-UA"/>
              </w:rPr>
            </w:pPr>
            <w:r>
              <w:rPr>
                <w:color w:val="0D0D0D"/>
                <w:lang w:val="uk-UA"/>
              </w:rPr>
              <w:t>копія паспорта громадянина України/тимчасового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pPr>
              <w:pStyle w:val="Normal"/>
              <w:widowControl w:val="false"/>
              <w:numPr>
                <w:ilvl w:val="0"/>
                <w:numId w:val="2"/>
              </w:numPr>
              <w:spacing w:lineRule="auto" w:line="235"/>
              <w:ind w:right="60" w:hanging="0"/>
              <w:jc w:val="both"/>
              <w:rPr>
                <w:rFonts w:ascii="Calibri" w:hAnsi="Calibri" w:eastAsia="Calibri" w:cs="Calibri"/>
                <w:color w:val="000000"/>
                <w:lang w:val="uk-UA"/>
              </w:rPr>
            </w:pPr>
            <w:r>
              <w:rPr>
                <w:color w:val="0D0D0D"/>
                <w:lang w:val="uk-UA"/>
              </w:rPr>
              <w:t xml:space="preserve">копія документа, що засвідчує реєстрацію у Державному реєстрі фізичних осіб </w:t>
            </w:r>
            <w:r>
              <w:rPr>
                <w:b/>
                <w:color w:val="0D0D0D"/>
                <w:lang w:val="uk-UA"/>
              </w:rPr>
              <w:t>–</w:t>
            </w:r>
            <w:r>
              <w:rPr>
                <w:color w:val="0D0D0D"/>
                <w:lang w:val="uk-UA"/>
              </w:rPr>
              <w:t xml:space="preserve">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w:t>
            </w:r>
            <w:r>
              <w:rPr>
                <w:b/>
                <w:color w:val="0D0D0D"/>
                <w:lang w:val="uk-UA"/>
              </w:rPr>
              <w:t>–</w:t>
            </w:r>
            <w:r>
              <w:rPr>
                <w:color w:val="0D0D0D"/>
                <w:lang w:val="uk-UA"/>
              </w:rPr>
              <w:t xml:space="preserve"> платників податків, внесені до паспорта громадянина України;</w:t>
            </w:r>
          </w:p>
          <w:p>
            <w:pPr>
              <w:pStyle w:val="Normal"/>
              <w:widowControl w:val="false"/>
              <w:numPr>
                <w:ilvl w:val="0"/>
                <w:numId w:val="2"/>
              </w:numPr>
              <w:spacing w:lineRule="auto" w:line="235"/>
              <w:ind w:right="60" w:hanging="0"/>
              <w:jc w:val="both"/>
              <w:rPr>
                <w:rFonts w:ascii="Calibri" w:hAnsi="Calibri" w:eastAsia="Calibri" w:cs="Calibri"/>
                <w:color w:val="000000"/>
                <w:lang w:val="uk-UA"/>
              </w:rPr>
            </w:pPr>
            <w:r>
              <w:rPr>
                <w:color w:val="0D0D0D"/>
                <w:lang w:val="uk-UA"/>
              </w:rPr>
              <w:t xml:space="preserve">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w:t>
            </w:r>
            <w:r>
              <w:rPr>
                <w:b/>
                <w:color w:val="0D0D0D"/>
                <w:lang w:val="uk-UA"/>
              </w:rPr>
              <w:t>–</w:t>
            </w:r>
            <w:r>
              <w:rPr>
                <w:color w:val="0D0D0D"/>
                <w:lang w:val="uk-UA"/>
              </w:rPr>
              <w:t xml:space="preserve"> свідоцтва про народження) </w:t>
            </w:r>
            <w:r>
              <w:rPr>
                <w:b/>
                <w:color w:val="0D0D0D"/>
                <w:lang w:val="uk-UA"/>
              </w:rPr>
              <w:t>–</w:t>
            </w:r>
            <w:r>
              <w:rPr>
                <w:color w:val="0D0D0D"/>
                <w:lang w:val="uk-UA"/>
              </w:rPr>
              <w:t xml:space="preserve"> у разі подання документів законним представником або уповноваженою особою;</w:t>
            </w:r>
          </w:p>
          <w:p>
            <w:pPr>
              <w:pStyle w:val="Normal"/>
              <w:widowControl w:val="false"/>
              <w:numPr>
                <w:ilvl w:val="0"/>
                <w:numId w:val="2"/>
              </w:numPr>
              <w:spacing w:lineRule="auto" w:line="259"/>
              <w:ind w:right="60" w:hanging="0"/>
              <w:jc w:val="both"/>
              <w:rPr>
                <w:rFonts w:ascii="Calibri" w:hAnsi="Calibri" w:eastAsia="Calibri" w:cs="Calibri"/>
                <w:color w:val="000000"/>
                <w:lang w:val="uk-UA"/>
              </w:rPr>
            </w:pPr>
            <w:r>
              <w:rPr>
                <w:color w:val="0D0D0D"/>
                <w:lang w:val="uk-UA"/>
              </w:rPr>
              <w:t>фотокартка (кольорова, матова) 3х4 см;</w:t>
            </w:r>
          </w:p>
          <w:p>
            <w:pPr>
              <w:pStyle w:val="Normal"/>
              <w:widowControl w:val="false"/>
              <w:numPr>
                <w:ilvl w:val="0"/>
                <w:numId w:val="2"/>
              </w:numPr>
              <w:spacing w:lineRule="auto" w:line="259" w:before="0" w:after="157"/>
              <w:ind w:right="60" w:hanging="0"/>
              <w:jc w:val="both"/>
              <w:rPr>
                <w:rFonts w:ascii="Calibri" w:hAnsi="Calibri" w:eastAsia="Calibri" w:cs="Calibri"/>
                <w:color w:val="000000"/>
                <w:lang w:val="uk-UA"/>
              </w:rPr>
            </w:pPr>
            <w:r>
              <w:rPr>
                <w:color w:val="0D0D0D"/>
                <w:lang w:val="uk-UA"/>
              </w:rPr>
              <w:t>посвідчення, яке потребує продовження строку дії.</w:t>
            </w:r>
          </w:p>
          <w:p>
            <w:pPr>
              <w:pStyle w:val="Normal"/>
              <w:widowControl w:val="false"/>
              <w:spacing w:lineRule="auto" w:line="235" w:before="0" w:after="184"/>
              <w:ind w:right="60" w:hanging="0"/>
              <w:jc w:val="both"/>
              <w:rPr>
                <w:b/>
                <w:b/>
                <w:color w:val="0D0D0D"/>
                <w:lang w:val="uk-UA"/>
              </w:rPr>
            </w:pPr>
            <w:r>
              <w:rPr>
                <w:b/>
                <w:color w:val="0D0D0D"/>
                <w:lang w:val="uk-UA"/>
              </w:rPr>
            </w:r>
          </w:p>
          <w:p>
            <w:pPr>
              <w:pStyle w:val="Normal"/>
              <w:widowControl w:val="false"/>
              <w:spacing w:lineRule="auto" w:line="235" w:before="0" w:after="184"/>
              <w:ind w:right="60" w:hanging="0"/>
              <w:jc w:val="both"/>
              <w:rPr>
                <w:rFonts w:ascii="Calibri" w:hAnsi="Calibri" w:eastAsia="Calibri" w:cs="Calibri"/>
                <w:color w:val="000000"/>
                <w:lang w:val="uk-UA"/>
              </w:rPr>
            </w:pPr>
            <w:r>
              <w:rPr>
                <w:b/>
                <w:color w:val="0D0D0D"/>
                <w:lang w:val="uk-UA"/>
              </w:rPr>
              <w:t xml:space="preserve">     </w:t>
            </w:r>
            <w:r>
              <w:rPr>
                <w:b/>
                <w:color w:val="0D0D0D"/>
                <w:lang w:val="uk-UA"/>
              </w:rPr>
              <w:t>Для осіб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1)      заява у паперовій формі згідно з додатком до Порядку № 685 (подається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у тому числі шляхом надсилання засобами поштового зв’язку або через центр надання адміністративних послуг (далі – центр).</w:t>
            </w:r>
          </w:p>
          <w:p>
            <w:pPr>
              <w:pStyle w:val="Normal"/>
              <w:widowControl w:val="false"/>
              <w:spacing w:lineRule="auto" w:line="235" w:before="0" w:after="184"/>
              <w:ind w:right="60" w:hanging="0"/>
              <w:jc w:val="both"/>
              <w:rPr>
                <w:rFonts w:ascii="Calibri" w:hAnsi="Calibri" w:eastAsia="Calibri" w:cs="Calibri"/>
                <w:color w:val="000000"/>
                <w:lang w:val="uk-UA"/>
              </w:rPr>
            </w:pPr>
            <w:r>
              <w:rPr>
                <w:i/>
                <w:color w:val="0D0D0D"/>
                <w:lang w:val="uk-UA"/>
              </w:rPr>
              <w:t>Примітка</w:t>
            </w:r>
            <w:r>
              <w:rPr>
                <w:b/>
                <w:i/>
                <w:color w:val="0D0D0D"/>
                <w:lang w:val="uk-UA"/>
              </w:rPr>
              <w:t>:</w:t>
            </w:r>
            <w:r>
              <w:rPr>
                <w:i/>
                <w:color w:val="0D0D0D"/>
                <w:lang w:val="uk-UA"/>
              </w:rPr>
              <w:t xml:space="preserve"> Під час подання заяви для перевірки паспортних даних, зазначених у заяві, та реєстраційного номера облікової картки платника податків пред’являється паспорт громадянина України/тимчасове посвідчення громадянина України (для громадян України), паспортний документ іноземця або документ, що посвідчує особу без громадянства, посвідка на постійне проживання, посвідка на тимчасове проживання, посвідчення біженця, посвідчення особи, яка потребує додаткового захисту, або інший документ,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та документ, що засвідчує реєстрацію у Державному реєстрі фізичних осіб -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pPr>
              <w:pStyle w:val="Normal"/>
              <w:widowControl w:val="false"/>
              <w:spacing w:lineRule="auto" w:line="259" w:before="0" w:after="160"/>
              <w:ind w:left="101" w:hanging="0"/>
              <w:rPr>
                <w:rFonts w:ascii="Calibri" w:hAnsi="Calibri" w:eastAsia="Calibri" w:cs="Calibri"/>
                <w:color w:val="000000"/>
                <w:lang w:val="uk-UA"/>
              </w:rPr>
            </w:pPr>
            <w:r>
              <w:rPr>
                <w:b/>
                <w:color w:val="0D0D0D"/>
                <w:lang w:val="uk-UA"/>
              </w:rPr>
              <w:t>2) До заяви за наявності додаються копії (скановані копії):</w:t>
            </w:r>
          </w:p>
          <w:p>
            <w:pPr>
              <w:pStyle w:val="Normal"/>
              <w:widowControl w:val="false"/>
              <w:spacing w:lineRule="auto" w:line="235"/>
              <w:ind w:right="60" w:firstLine="567"/>
              <w:jc w:val="both"/>
              <w:rPr>
                <w:color w:val="0D0D0D"/>
                <w:lang w:val="uk-UA"/>
              </w:rPr>
            </w:pPr>
            <w:r>
              <w:rPr>
                <w:color w:val="0D0D0D"/>
                <w:lang w:val="uk-UA"/>
              </w:rPr>
              <w:t>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 довідки про взяття на облік внутрішньо переміщеної особи (для внутрішньо переміщених осіб);</w:t>
            </w:r>
          </w:p>
          <w:p>
            <w:pPr>
              <w:pStyle w:val="Normal"/>
              <w:widowControl w:val="false"/>
              <w:spacing w:lineRule="auto" w:line="235"/>
              <w:ind w:right="60" w:firstLine="567"/>
              <w:jc w:val="both"/>
              <w:rPr>
                <w:color w:val="0D0D0D"/>
                <w:lang w:val="uk-UA"/>
              </w:rPr>
            </w:pPr>
            <w:r>
              <w:rPr>
                <w:color w:val="0D0D0D"/>
                <w:lang w:val="uk-UA"/>
              </w:rPr>
              <w:t>повного витягу з інформаційно-аналітичної системи «Облік відомостей про притягнення особи до кримінальної відповідальності та наявності судимості», сформованого засобами Порталу Дія не пізніше ніж за п’ять календарних днів до моменту заповнення заяви;</w:t>
            </w:r>
          </w:p>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документів, які підтверджують безпосередню участь особи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1) для військовослужбовців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складу інших утворених відповідно до законів України військових формувань </w:t>
            </w:r>
            <w:r>
              <w:rPr>
                <w:i/>
                <w:color w:val="0D0D0D"/>
                <w:lang w:val="uk-UA"/>
              </w:rPr>
              <w:t>(пункт 11 частини другої статті 7 Закону),</w:t>
            </w:r>
            <w:r>
              <w:rPr>
                <w:color w:val="0D0D0D"/>
                <w:lang w:val="uk-UA"/>
              </w:rPr>
              <w:t xml:space="preserve"> та осіб, які стали особами з інвалідністю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w:t>
            </w:r>
            <w:r>
              <w:rPr>
                <w:i/>
                <w:color w:val="0D0D0D"/>
                <w:lang w:val="uk-UA"/>
              </w:rPr>
              <w:t>(пункт 12 частини другої статті 7 Закону):</w:t>
            </w:r>
          </w:p>
          <w:p>
            <w:pPr>
              <w:pStyle w:val="Normal"/>
              <w:widowControl w:val="false"/>
              <w:spacing w:lineRule="auto" w:line="235"/>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 чи виписки з акта огляду медико-соціальною експертною комісією, у якій міститься інформація про групу та причину інвалідності, за формою, затвердженою МОЗ*;</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      </w:t>
            </w:r>
            <w:r>
              <w:rPr>
                <w:color w:val="0D0D0D"/>
                <w:lang w:val="uk-UA"/>
              </w:rPr>
              <w:t>документів про безпосередню участь особи, яка захищала незалежність, суверенітет і територіальну цілісність України та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 довідки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20.08.2014 № 413 (далі – Порядок № 413)*.</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2)  для осіб, які входили до складу добровольчого формування територіальної громади, які захищали незалежність, суверенітет та територіальну цілісність України та стали особами з інвалідністю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Pr>
                <w:i/>
                <w:color w:val="0D0D0D"/>
                <w:lang w:val="uk-UA"/>
              </w:rPr>
              <w:t>(пункт 11 частини другої статті 7 Закону)</w:t>
            </w:r>
            <w:r>
              <w:rPr>
                <w:color w:val="0D0D0D"/>
                <w:lang w:val="uk-UA"/>
              </w:rPr>
              <w:t>:</w:t>
            </w:r>
          </w:p>
          <w:p>
            <w:pPr>
              <w:pStyle w:val="ListParagraph"/>
              <w:keepNext w:val="true"/>
              <w:widowControl w:val="false"/>
              <w:ind w:left="0" w:firstLine="283"/>
              <w:jc w:val="both"/>
              <w:rPr>
                <w:color w:val="0D0D0D"/>
                <w:lang w:val="uk-UA"/>
              </w:rPr>
            </w:pPr>
            <w:r>
              <w:rPr>
                <w:color w:val="0D0D0D"/>
                <w:lang w:val="uk-UA"/>
              </w:rPr>
              <w:t>довідки медико-соціальної експертної комісії про групу та причину інвалідності чи виписки з акта огляду медико-соціальною експертною комісією, у якій міститься інформація про групу та причину інвалідності, за формою, затвердженою МОЗ*;</w:t>
            </w:r>
          </w:p>
          <w:p>
            <w:pPr>
              <w:pStyle w:val="ListParagraph"/>
              <w:keepNext w:val="true"/>
              <w:widowControl w:val="false"/>
              <w:ind w:left="0" w:firstLine="283"/>
              <w:jc w:val="both"/>
              <w:rPr>
                <w:color w:val="0D0D0D"/>
                <w:lang w:val="uk-UA"/>
              </w:rPr>
            </w:pPr>
            <w:r>
              <w:rPr>
                <w:color w:val="0D0D0D"/>
                <w:lang w:val="uk-UA"/>
              </w:rPr>
              <w:t>контракту добровольця територіальної оборони*;</w:t>
            </w:r>
          </w:p>
          <w:p>
            <w:pPr>
              <w:pStyle w:val="Normal"/>
              <w:widowControl w:val="false"/>
              <w:spacing w:lineRule="auto" w:line="235"/>
              <w:ind w:right="60" w:firstLine="243"/>
              <w:jc w:val="both"/>
              <w:rPr>
                <w:rFonts w:ascii="Calibri" w:hAnsi="Calibri" w:eastAsia="Calibri" w:cs="Calibri"/>
                <w:color w:val="000000"/>
                <w:lang w:val="uk-UA"/>
              </w:rPr>
            </w:pPr>
            <w:r>
              <w:rPr>
                <w:color w:val="0D0D0D"/>
                <w:lang w:val="uk-UA"/>
              </w:rPr>
              <w:t>довідки за формою згідно з додатком 6 до Порядку № 413, виданої командиром військової частини Сил територіальної оборони Збройних Сил, під безпосереднім керівництвом і контролем якого провадиться діяльність добровольчого формування територіальної оборони, за клопотанням командира добровольчого формування територіальної оборони*.</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3) для працівників підприємств, установ, організацій, які залучалися до забезпечення проведення антитерористичної операції, до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участі у заходах, необхідних для забезпечення оборони України, захисту безпеки населення та інтересів держави у зв’язку з військовою агресію Російської Федерації проти України і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забезпечення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w:t>
            </w:r>
            <w:r>
              <w:rPr>
                <w:i/>
                <w:color w:val="0D0D0D"/>
                <w:lang w:val="uk-UA"/>
              </w:rPr>
              <w:t>(пункт 11 частини другої статті 7 Закону)</w:t>
            </w:r>
            <w:r>
              <w:rPr>
                <w:color w:val="0D0D0D"/>
                <w:lang w:val="uk-UA"/>
              </w:rPr>
              <w:t>:</w:t>
            </w:r>
          </w:p>
          <w:p>
            <w:pPr>
              <w:pStyle w:val="Normal"/>
              <w:widowControl w:val="false"/>
              <w:spacing w:lineRule="auto" w:line="235"/>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 чи виписка з акта огляду медико-соціальною експертною комісією, у якій міститься інформація про групу та причину інвалідності, за формою, затвердженою МОЗ*;</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      </w:t>
            </w:r>
            <w:r>
              <w:rPr>
                <w:color w:val="0D0D0D"/>
                <w:lang w:val="uk-UA"/>
              </w:rPr>
              <w:t>документів про безпосереднє залучення до виконання завдань антитерористичної операції в районах її проведення,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безпосередньо в районах та у період здійснення зазначених заходів, про залучення до виконання мобілізаційних завдань (замовлень)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для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(витяги з наказів, розпоряджень, посвідчень про відрядження, книг нарядів, матеріалів спеціальних (службових) розслідувань за фактами отримання поранень, документи про виконання підприємствами, установами і організаціями мобілізаційних завдань (замовлень), а також документи, що були підставою для прийняття керівниками підприємств, установ і організацій рішення про направлення осіб у таке відрядження*.</w:t>
            </w:r>
          </w:p>
          <w:p>
            <w:pPr>
              <w:pStyle w:val="Normal"/>
              <w:widowControl w:val="false"/>
              <w:spacing w:lineRule="auto" w:line="235" w:before="0" w:after="184"/>
              <w:ind w:right="60" w:firstLine="567"/>
              <w:jc w:val="both"/>
              <w:rPr>
                <w:i/>
                <w:i/>
                <w:color w:val="0D0D0D"/>
                <w:lang w:val="uk-UA"/>
              </w:rPr>
            </w:pPr>
            <w:r>
              <w:rPr>
                <w:i/>
                <w:color w:val="0D0D0D"/>
                <w:lang w:val="uk-UA"/>
              </w:rPr>
              <w:t>*Примітка: у разі відсутності оригіналів або копій (сканованих копій) документів вони витребовуються Управлінням за задекларованим/ зареєстрованим місцем проживання (перебування) або за адресою фактичного місця проживання (для внутрішньо переміщених осіб) заявника в уповноваженого органу або в особи у рамках міжвідомчої взаємодії між суб’єктами владних повноважень у формі документів або відомостей не пізніше ніж через п’ять календарних днів з дати надходження заяви.</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4) для осіб, які стали особами з інвалідністю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і виконували завдання антитерористичної операції у взаємодії із Збройними Силами України, Міністерством внутрішніх справ України, Національною поліцією, Національною гвардією України та іншими утвореними відповідно до законів України військовими формуваннями та правоохоронними органами </w:t>
            </w:r>
            <w:r>
              <w:rPr>
                <w:i/>
                <w:color w:val="0D0D0D"/>
                <w:lang w:val="uk-UA"/>
              </w:rPr>
              <w:t>(пункт 13 частини другої статті 7 Закону):</w:t>
            </w:r>
          </w:p>
          <w:p>
            <w:pPr>
              <w:pStyle w:val="Normal"/>
              <w:widowControl w:val="false"/>
              <w:spacing w:lineRule="auto" w:line="259"/>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w:t>
            </w:r>
          </w:p>
          <w:p>
            <w:pPr>
              <w:pStyle w:val="Normal"/>
              <w:widowControl w:val="false"/>
              <w:spacing w:lineRule="auto" w:line="259"/>
              <w:ind w:right="60" w:hanging="0"/>
              <w:jc w:val="both"/>
              <w:rPr>
                <w:rFonts w:ascii="Calibri" w:hAnsi="Calibri" w:eastAsia="Calibri" w:cs="Calibri"/>
                <w:color w:val="000000"/>
                <w:lang w:val="uk-UA"/>
              </w:rPr>
            </w:pPr>
            <w:r>
              <w:rPr>
                <w:color w:val="0D0D0D"/>
                <w:lang w:val="uk-UA"/>
              </w:rPr>
              <w:t xml:space="preserve">      </w:t>
            </w:r>
            <w:r>
              <w:rPr>
                <w:color w:val="0D0D0D"/>
                <w:lang w:val="uk-UA"/>
              </w:rPr>
              <w:t>клопотання про надання статусу особи з інвалідністю внаслідок війни керівника добровольчого формування, до складу якого входила така особа, або командира (начальника) військової частини (органу, підрозділу) Збройних Сил, МВС, Національної поліції, Національної гвардії або іншого утвореного відповідно до закону військового формування чи правоохоронного органу, у взаємодії з якими особа виконувала завдання антитерористичної операції.</w:t>
            </w:r>
          </w:p>
          <w:p>
            <w:pPr>
              <w:pStyle w:val="Normal"/>
              <w:widowControl w:val="false"/>
              <w:spacing w:lineRule="auto" w:line="235"/>
              <w:jc w:val="both"/>
              <w:rPr>
                <w:rFonts w:ascii="Calibri" w:hAnsi="Calibri" w:eastAsia="Calibri" w:cs="Calibri"/>
                <w:color w:val="000000"/>
                <w:lang w:val="uk-UA"/>
              </w:rPr>
            </w:pPr>
            <w:r>
              <w:rPr>
                <w:color w:val="0D0D0D"/>
                <w:lang w:val="uk-UA"/>
              </w:rPr>
              <w:t xml:space="preserve">      </w:t>
            </w:r>
            <w:r>
              <w:rPr>
                <w:color w:val="0D0D0D"/>
                <w:lang w:val="uk-UA"/>
              </w:rPr>
              <w:t>До клопотання додаються документи, що підтверджують участь особи в антитерористичній операції,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довідка (витяг із наказу)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поліцією, Національною гвардією та іншими утвореними відповідно до закону  військовими формуваннями та правоохоронними органами, перебуваючи безпосередньо в районах антитерористичної операції у період її проведення;</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5) для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здійснювали волонтерську діяльність) та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 </w:t>
            </w:r>
            <w:r>
              <w:rPr>
                <w:i/>
                <w:color w:val="0D0D0D"/>
                <w:lang w:val="uk-UA"/>
              </w:rPr>
              <w:t>(пункт 14 частини другої статті 7 Закону)</w:t>
            </w:r>
            <w:r>
              <w:rPr>
                <w:color w:val="0D0D0D"/>
                <w:lang w:val="uk-UA"/>
              </w:rPr>
              <w:t xml:space="preserve"> (у тому числі тих, які провадили волонтерську діяльність за напрямами, визначеними абзацом дев’ятим частини третьої статті 1 Закону України “Про волонтерську діяльність”):</w:t>
            </w:r>
          </w:p>
          <w:p>
            <w:pPr>
              <w:pStyle w:val="Normal"/>
              <w:widowControl w:val="false"/>
              <w:spacing w:lineRule="auto" w:line="259"/>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w:t>
            </w:r>
          </w:p>
          <w:p>
            <w:pPr>
              <w:pStyle w:val="Normal"/>
              <w:widowControl w:val="false"/>
              <w:spacing w:lineRule="auto" w:line="259"/>
              <w:ind w:right="60" w:hanging="0"/>
              <w:jc w:val="both"/>
              <w:rPr>
                <w:rFonts w:ascii="Calibri" w:hAnsi="Calibri" w:eastAsia="Calibri" w:cs="Calibri"/>
                <w:color w:val="000000"/>
                <w:lang w:val="uk-UA"/>
              </w:rPr>
            </w:pPr>
            <w:r>
              <w:rPr>
                <w:color w:val="0D0D0D"/>
                <w:lang w:val="uk-UA"/>
              </w:rPr>
              <w:t xml:space="preserve">      </w:t>
            </w:r>
            <w:r>
              <w:rPr>
                <w:color w:val="0D0D0D"/>
                <w:lang w:val="uk-UA"/>
              </w:rPr>
              <w:t>довідки (витягу із наказу) керівника Антитерористичного центру при СБУ, Генерального штабу Збройних Сил про добровільне забезпечення або добровільне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разі відсутності зазначеної довідки (витягу із наказу);</w:t>
            </w:r>
          </w:p>
          <w:p>
            <w:pPr>
              <w:pStyle w:val="Normal"/>
              <w:widowControl w:val="false"/>
              <w:spacing w:lineRule="auto" w:line="235"/>
              <w:ind w:right="60" w:hanging="0"/>
              <w:jc w:val="both"/>
              <w:rPr>
                <w:color w:val="0D0D0D"/>
                <w:lang w:val="uk-UA"/>
              </w:rPr>
            </w:pPr>
            <w:r>
              <w:rPr>
                <w:color w:val="0D0D0D"/>
                <w:lang w:val="uk-UA"/>
              </w:rPr>
              <w:t xml:space="preserve">6) для осіб, які стали особами з інвалідністю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дії воєнного стану внаслідок самооборони під час виконання завдань, пов’язаних із запровадженням і здійсненням заходів правового режиму воєнного стану </w:t>
            </w:r>
            <w:r>
              <w:rPr>
                <w:i/>
                <w:color w:val="0D0D0D"/>
                <w:lang w:val="uk-UA"/>
              </w:rPr>
              <w:t>(пункт 16 частини другої статті 7 Закону):</w:t>
            </w:r>
          </w:p>
          <w:p>
            <w:pPr>
              <w:pStyle w:val="Normal"/>
              <w:widowControl w:val="false"/>
              <w:spacing w:lineRule="auto" w:line="235"/>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w:t>
            </w:r>
          </w:p>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      </w:t>
            </w:r>
            <w:r>
              <w:rPr>
                <w:color w:val="0D0D0D"/>
                <w:lang w:val="uk-UA"/>
              </w:rPr>
              <w:t>довідки за формою згідно з додатком 6 до Порядку № 413, виданої Мінветеранів.</w:t>
            </w:r>
          </w:p>
          <w:p>
            <w:pPr>
              <w:pStyle w:val="ListParagraph"/>
              <w:keepNext w:val="true"/>
              <w:widowControl w:val="false"/>
              <w:ind w:left="0" w:firstLine="283"/>
              <w:jc w:val="both"/>
              <w:rPr>
                <w:lang w:val="uk-UA"/>
              </w:rPr>
            </w:pPr>
            <w:r>
              <w:rPr>
                <w:color w:val="0D0D0D"/>
                <w:lang w:val="uk-UA"/>
              </w:rPr>
              <w:t>До заяви додається фотокартка (кольорова, матова) 3х4 см.</w:t>
            </w:r>
          </w:p>
        </w:tc>
      </w:tr>
      <w:tr>
        <w:trPr>
          <w:trHeight w:val="697" w:hRule="atLeast"/>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3"/>
              </w:numPr>
              <w:spacing w:lineRule="auto" w:line="235"/>
              <w:ind w:right="60" w:hanging="0"/>
              <w:jc w:val="both"/>
              <w:rPr>
                <w:rFonts w:ascii="Calibri" w:hAnsi="Calibri" w:eastAsia="Calibri" w:cs="Calibri"/>
                <w:color w:val="000000"/>
                <w:lang w:val="uk-UA"/>
              </w:rPr>
            </w:pPr>
            <w:r>
              <w:rPr>
                <w:color w:val="0D0D0D"/>
                <w:lang w:val="uk-UA"/>
              </w:rPr>
              <w:t>Заява довільної форми та документи подаються особисто, законним представником або уповноваженою особою 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або через центр.</w:t>
            </w:r>
          </w:p>
          <w:p>
            <w:pPr>
              <w:pStyle w:val="Normal"/>
              <w:widowControl w:val="false"/>
              <w:numPr>
                <w:ilvl w:val="0"/>
                <w:numId w:val="3"/>
              </w:numPr>
              <w:spacing w:lineRule="auto" w:line="235"/>
              <w:ind w:right="60" w:hanging="0"/>
              <w:jc w:val="both"/>
              <w:rPr>
                <w:rFonts w:ascii="Calibri" w:hAnsi="Calibri" w:eastAsia="Calibri" w:cs="Calibri"/>
                <w:color w:val="000000"/>
                <w:lang w:val="uk-UA"/>
              </w:rPr>
            </w:pPr>
            <w:r>
              <w:rPr>
                <w:color w:val="0D0D0D"/>
                <w:lang w:val="uk-UA"/>
              </w:rPr>
              <w:t>Заява у паперовій формі згідно з додатком до Порядку № 685 та необхідні документи подаються особисто, законним представником або уповноваженою особою:</w:t>
            </w:r>
          </w:p>
          <w:p>
            <w:pPr>
              <w:pStyle w:val="Normal"/>
              <w:widowControl w:val="false"/>
              <w:jc w:val="both"/>
              <w:rPr>
                <w:color w:val="0D0D0D"/>
                <w:lang w:val="uk-UA"/>
              </w:rPr>
            </w:pPr>
            <w:r>
              <w:rPr>
                <w:color w:val="0D0D0D"/>
                <w:lang w:val="uk-UA"/>
              </w:rPr>
              <w:t>1) 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4"/>
              </w:numPr>
              <w:spacing w:lineRule="auto" w:line="235"/>
              <w:ind w:right="60" w:hanging="0"/>
              <w:jc w:val="both"/>
              <w:rPr>
                <w:rFonts w:ascii="Calibri" w:hAnsi="Calibri" w:eastAsia="Calibri" w:cs="Calibri"/>
                <w:color w:val="000000"/>
                <w:lang w:val="uk-UA"/>
              </w:rPr>
            </w:pPr>
            <w:r>
              <w:rPr>
                <w:color w:val="0D0D0D"/>
                <w:lang w:val="uk-UA"/>
              </w:rPr>
              <w:t>надсилаються засобами поштового зв’язку до Управління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4"/>
              </w:numPr>
              <w:spacing w:lineRule="auto" w:line="235"/>
              <w:ind w:right="60" w:hanging="0"/>
              <w:jc w:val="both"/>
              <w:rPr>
                <w:rFonts w:ascii="Calibri" w:hAnsi="Calibri" w:eastAsia="Calibri" w:cs="Calibri"/>
                <w:color w:val="000000"/>
                <w:lang w:val="uk-UA"/>
              </w:rPr>
            </w:pPr>
            <w:r>
              <w:rPr>
                <w:color w:val="0D0D0D"/>
                <w:lang w:val="uk-UA"/>
              </w:rPr>
              <w:t>до центру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У разі подання заяви у паперовій формі працівник Управління або адміністратор центру на вимогу заявника складає заяву в електронній формі, друкує її та надає заявнику для перевірки та підписання.</w:t>
            </w:r>
          </w:p>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Заява у паперовій формі з необхідними документами приймається адміністратором центру виключно з формуванням електронної справи та не пізніше ніж протягом наступного робочого дня після її формування через електронний кабінет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У разі відсутності технічної можливості передати заяву з необхідними документами через електронний кабінет така заява не пізніше ніж через три дні після її прийняття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паперовій формі.</w:t>
            </w:r>
          </w:p>
          <w:p>
            <w:pPr>
              <w:pStyle w:val="Normal"/>
              <w:widowControl w:val="false"/>
              <w:ind w:firstLine="284"/>
              <w:jc w:val="both"/>
              <w:rPr>
                <w:color w:val="0D0D0D"/>
                <w:lang w:val="uk-UA"/>
              </w:rPr>
            </w:pPr>
            <w:r>
              <w:rPr>
                <w:color w:val="0D0D0D"/>
                <w:lang w:val="uk-UA"/>
              </w:rPr>
              <w:t>3. Заява в електронній формі подається заявниками з числа осіб, зазначених у пункті 11 частини другої статті 7 Закону, засобами Порталу Дія (для законних представників або уповноважених осіб зазначених осіб за наявності технічної можливості) або засобами Реєстру.</w:t>
            </w:r>
          </w:p>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Подати заяву в електронній формі засобами Порталу Дія може громадянин України, засобами Реєстру – громадянин України, іноземець або особа без громадянства (за наявності реєстраційного номера облікової картки платника податків). Заява в електронній формі засобами Порталу Дія та/або Реєстру незалежно від адреси задекларованого/зареєстрованого місця проживання (перебування) заявника може бути подана адміністратором центру, який здійснює ідентифікацію заявника шляхом пред’явлення заявником паспорта громадянина України або тимчасового посвідчення громадянина України (для громадян України), паспортного документа іноземця або документа, що посвідчує особу без громадянства, або посвідки на постійне проживання, або посвідки на тимчасове проживання, або посвідчення біженця, або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після проходження електронної ідентифікації та автентифікації з використанням інтегрованої системи електронної ідентифікації, електронного підпису або інших засобів електронної ідентифікації, які дають змогу однозначно встановити особу адміністратора центру.</w:t>
            </w:r>
          </w:p>
          <w:p>
            <w:pPr>
              <w:pStyle w:val="Normal"/>
              <w:widowControl w:val="false"/>
              <w:ind w:firstLine="284"/>
              <w:jc w:val="both"/>
              <w:rPr>
                <w:lang w:val="uk-UA"/>
              </w:rPr>
            </w:pPr>
            <w:r>
              <w:rPr>
                <w:color w:val="0D0D0D"/>
                <w:lang w:val="uk-UA"/>
              </w:rPr>
              <w:t>Після формування заяви в електронній формі засобами Порталу Дія або Реєстру на неї адміністратором центру накладається кваліфікований електронний підпис або удосконалений електронний підпис, що базується на кваліфікованому сертифікаті електронного підпису.</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pPr>
              <w:pStyle w:val="Normal"/>
              <w:widowControl w:val="false"/>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pPr>
              <w:pStyle w:val="Normal"/>
              <w:widowControl w:val="false"/>
              <w:ind w:firstLine="284"/>
              <w:jc w:val="both"/>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rPr>
                <w:lang w:val="uk-UA"/>
              </w:rPr>
            </w:pPr>
            <w:r>
              <w:rPr/>
              <w:t xml:space="preserve"> </w:t>
            </w:r>
            <w:r>
              <w:rPr>
                <w:lang w:val="uk-UA"/>
              </w:rPr>
              <w:t>Адміністративна послуга надається безоплатно</w:t>
            </w:r>
          </w:p>
          <w:p>
            <w:pPr>
              <w:pStyle w:val="Normal"/>
              <w:widowControl w:val="false"/>
              <w:ind w:firstLine="284"/>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pPr>
              <w:pStyle w:val="Normal"/>
              <w:widowControl w:val="false"/>
              <w:ind w:firstLine="284"/>
              <w:jc w:val="both"/>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ind w:right="60" w:hanging="0"/>
              <w:jc w:val="both"/>
              <w:rPr>
                <w:rFonts w:ascii="Calibri" w:hAnsi="Calibri" w:eastAsia="Calibri" w:cs="Calibri"/>
                <w:color w:val="000000"/>
                <w:lang w:val="uk-UA"/>
              </w:rPr>
            </w:pPr>
            <w:r>
              <w:rPr>
                <w:color w:val="0D0D0D"/>
                <w:lang w:val="uk-UA"/>
              </w:rPr>
              <w:t xml:space="preserve">     </w:t>
            </w:r>
            <w:r>
              <w:rPr>
                <w:color w:val="0D0D0D"/>
                <w:lang w:val="uk-UA"/>
              </w:rPr>
              <w:t>Управління праці та соціального захисту населення</w:t>
            </w:r>
            <w:bookmarkStart w:id="8" w:name="_GoBack"/>
            <w:bookmarkEnd w:id="8"/>
            <w:r>
              <w:rPr>
                <w:color w:val="0D0D0D"/>
                <w:lang w:val="uk-UA"/>
              </w:rPr>
              <w:t xml:space="preserve"> за задекларованим/зареєстрованим місцем проживання (перебування) або за адресою фактичного місця проживання (для внутрішньо переміщених осіб) заявника відмовляє заявнику у наданні статусу особи з інвалідністю внаслідок війни у разі:</w:t>
            </w:r>
          </w:p>
          <w:p>
            <w:pPr>
              <w:pStyle w:val="Normal"/>
              <w:widowControl w:val="false"/>
              <w:numPr>
                <w:ilvl w:val="0"/>
                <w:numId w:val="5"/>
              </w:numPr>
              <w:spacing w:lineRule="auto" w:line="259"/>
              <w:ind w:left="0" w:hanging="0"/>
              <w:rPr>
                <w:rFonts w:ascii="Calibri" w:hAnsi="Calibri" w:eastAsia="Calibri" w:cs="Calibri"/>
                <w:color w:val="000000"/>
                <w:lang w:val="uk-UA"/>
              </w:rPr>
            </w:pPr>
            <w:r>
              <w:rPr>
                <w:color w:val="0D0D0D"/>
                <w:lang w:val="uk-UA"/>
              </w:rPr>
              <w:t>відсутності необхідних документів;</w:t>
            </w:r>
          </w:p>
          <w:p>
            <w:pPr>
              <w:pStyle w:val="Normal"/>
              <w:widowControl w:val="false"/>
              <w:numPr>
                <w:ilvl w:val="0"/>
                <w:numId w:val="5"/>
              </w:numPr>
              <w:spacing w:lineRule="auto" w:line="259"/>
              <w:ind w:left="0" w:hanging="0"/>
              <w:rPr>
                <w:rFonts w:ascii="Calibri" w:hAnsi="Calibri" w:eastAsia="Calibri" w:cs="Calibri"/>
                <w:color w:val="000000"/>
                <w:lang w:val="uk-UA"/>
              </w:rPr>
            </w:pPr>
            <w:r>
              <w:rPr>
                <w:color w:val="0D0D0D"/>
                <w:lang w:val="uk-UA"/>
              </w:rPr>
              <w:t>подання неправдивих відомостей;</w:t>
            </w:r>
          </w:p>
          <w:p>
            <w:pPr>
              <w:pStyle w:val="Normal"/>
              <w:widowControl w:val="false"/>
              <w:numPr>
                <w:ilvl w:val="0"/>
                <w:numId w:val="5"/>
              </w:numPr>
              <w:spacing w:lineRule="auto" w:line="259"/>
              <w:ind w:left="0" w:hanging="0"/>
              <w:rPr>
                <w:rFonts w:ascii="Calibri" w:hAnsi="Calibri" w:eastAsia="Calibri" w:cs="Calibri"/>
                <w:color w:val="000000"/>
                <w:lang w:val="uk-UA"/>
              </w:rPr>
            </w:pPr>
            <w:r>
              <w:rPr>
                <w:color w:val="0D0D0D"/>
                <w:lang w:val="uk-UA"/>
              </w:rPr>
              <w:t>виявлення підробок у поданих документах;</w:t>
            </w:r>
          </w:p>
          <w:p>
            <w:pPr>
              <w:pStyle w:val="Normal"/>
              <w:widowControl w:val="false"/>
              <w:numPr>
                <w:ilvl w:val="0"/>
                <w:numId w:val="5"/>
              </w:numPr>
              <w:spacing w:lineRule="auto" w:line="235"/>
              <w:ind w:left="0" w:hanging="0"/>
              <w:jc w:val="both"/>
              <w:rPr>
                <w:rFonts w:ascii="Calibri" w:hAnsi="Calibri" w:eastAsia="Calibri" w:cs="Calibri"/>
                <w:color w:val="000000"/>
                <w:lang w:val="uk-UA"/>
              </w:rPr>
            </w:pPr>
            <w:r>
              <w:rPr>
                <w:color w:val="0D0D0D"/>
                <w:lang w:val="uk-UA"/>
              </w:rPr>
              <w:t>наявності обвинувального вироку суду, який набрав законної сили, за вчинення заявником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w:t>
            </w:r>
            <w:r>
              <w:rPr>
                <w:rFonts w:eastAsia="Bookman Old Style" w:cs="Bookman Old Style" w:ascii="Bookman Old Style" w:hAnsi="Bookman Old Style"/>
                <w:color w:val="0D0D0D"/>
                <w:lang w:val="uk-UA"/>
              </w:rPr>
              <w:t xml:space="preserve"> </w:t>
            </w:r>
            <w:r>
              <w:rPr>
                <w:color w:val="0D0D0D"/>
                <w:lang w:val="uk-UA"/>
              </w:rPr>
              <w:t>проти України, або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тяжкого злочину проти миру, безпеки людства та міжнародного порядку;</w:t>
            </w:r>
          </w:p>
          <w:p>
            <w:pPr>
              <w:pStyle w:val="ListParagraph"/>
              <w:widowControl w:val="false"/>
              <w:numPr>
                <w:ilvl w:val="0"/>
                <w:numId w:val="5"/>
              </w:numPr>
              <w:ind w:left="0" w:hanging="0"/>
              <w:jc w:val="both"/>
              <w:rPr>
                <w:lang w:val="uk-UA"/>
              </w:rPr>
            </w:pPr>
            <w:r>
              <w:rPr>
                <w:color w:val="0D0D0D"/>
                <w:lang w:val="uk-UA"/>
              </w:rPr>
              <w:t>коли причина інвалідності внаслідок поранення (контузії, каліцтва або захворювання) не відповідає вимогам Закону.</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jc w:val="both"/>
              <w:rPr>
                <w:lang w:val="uk-UA"/>
              </w:rPr>
            </w:pPr>
            <w:r>
              <w:rPr>
                <w:lang w:val="uk-UA"/>
              </w:rPr>
              <w:t xml:space="preserve">     </w:t>
            </w:r>
            <w:r>
              <w:rPr>
                <w:lang w:val="uk-UA"/>
              </w:rPr>
              <w:t>Видача відповідного посвідчення</w:t>
            </w:r>
            <w:bookmarkStart w:id="9" w:name="bookmark=id.3znysh7"/>
            <w:bookmarkEnd w:id="9"/>
            <w:r>
              <w:rPr>
                <w:lang w:val="uk-UA"/>
              </w:rPr>
              <w:t xml:space="preserve"> (довідки, що видається матері (або іншому повнолітньому члену сім’ї або опікуну) продовження строку дії посвідчення)/відмова у видачі відповідного посвідчення (довідки,  що видається матері (або іншому повнолітньому члену сім’ї або опікуну)   продовження строку дії посвідчення).</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14.</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1. Посвідчення особи з інвалідністю внаслідок війни/довідка, що видається матері (або іншому повнолітньому члену сім’ї або опікуну)/ посвідчення з продовженим строком дії вручаються особисто або за дорученням, оформленим в установленому законом порядку, уповноваженим особам:</w:t>
            </w:r>
          </w:p>
          <w:p>
            <w:pPr>
              <w:pStyle w:val="Normal"/>
              <w:widowControl w:val="false"/>
              <w:numPr>
                <w:ilvl w:val="0"/>
                <w:numId w:val="6"/>
              </w:numPr>
              <w:spacing w:lineRule="auto" w:line="235"/>
              <w:ind w:right="60" w:hanging="0"/>
              <w:jc w:val="both"/>
              <w:rPr>
                <w:rFonts w:ascii="Calibri" w:hAnsi="Calibri" w:eastAsia="Calibri" w:cs="Calibri"/>
                <w:color w:val="000000"/>
                <w:lang w:val="uk-UA"/>
              </w:rPr>
            </w:pPr>
            <w:r>
              <w:rPr>
                <w:color w:val="0D0D0D"/>
                <w:lang w:val="uk-UA"/>
              </w:rPr>
              <w:t>у центрі, що забезпечує видачу результатів адміністративних послуг,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6"/>
              </w:numPr>
              <w:spacing w:lineRule="auto" w:line="235"/>
              <w:ind w:right="60" w:hanging="0"/>
              <w:jc w:val="both"/>
              <w:rPr>
                <w:rFonts w:ascii="Calibri" w:hAnsi="Calibri" w:eastAsia="Calibri" w:cs="Calibri"/>
                <w:color w:val="000000"/>
                <w:lang w:val="uk-UA"/>
              </w:rPr>
            </w:pPr>
            <w:r>
              <w:rPr>
                <w:color w:val="0D0D0D"/>
                <w:lang w:val="uk-UA"/>
              </w:rPr>
              <w:t>суб’єктом надання адміністративної послуги – управлінням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before="0" w:after="160"/>
              <w:ind w:firstLine="567"/>
              <w:jc w:val="both"/>
              <w:rPr>
                <w:rFonts w:ascii="Calibri" w:hAnsi="Calibri" w:eastAsia="Calibri" w:cs="Calibri"/>
                <w:color w:val="000000"/>
                <w:lang w:val="uk-UA"/>
              </w:rPr>
            </w:pPr>
            <w:r>
              <w:rPr>
                <w:color w:val="0D0D0D"/>
                <w:lang w:val="uk-UA"/>
              </w:rPr>
              <w:t>Повідомлення про надання (відмову</w:t>
            </w:r>
            <w:r>
              <w:rPr>
                <w:color w:val="0D0D0D"/>
              </w:rPr>
              <w:t xml:space="preserve"> у </w:t>
            </w:r>
            <w:r>
              <w:rPr>
                <w:color w:val="0D0D0D"/>
                <w:lang w:val="uk-UA"/>
              </w:rPr>
              <w:t>наданні) статусу особи з інвалідністю внаслідок війни заявник отримує:</w:t>
            </w:r>
          </w:p>
          <w:p>
            <w:pPr>
              <w:pStyle w:val="Normal"/>
              <w:widowControl w:val="false"/>
              <w:spacing w:lineRule="auto" w:line="235"/>
              <w:ind w:right="60" w:firstLine="567"/>
              <w:jc w:val="both"/>
              <w:rPr>
                <w:color w:val="0D0D0D"/>
                <w:lang w:val="uk-UA"/>
              </w:rPr>
            </w:pPr>
            <w:r>
              <w:rPr>
                <w:color w:val="0D0D0D"/>
                <w:lang w:val="uk-UA"/>
              </w:rPr>
              <w:t>шляхом надсилання управлінням  повідомлення на електронну (поштову) адресу, зазначену заявником у заяві, що подана в паперовій формі;</w:t>
            </w:r>
          </w:p>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засобами Порталу Дія або засобами Реєстру (у разі подання заяви в електронній формі).</w:t>
            </w:r>
          </w:p>
          <w:p>
            <w:pPr>
              <w:pStyle w:val="Normal"/>
              <w:widowControl w:val="false"/>
              <w:spacing w:lineRule="auto" w:line="235"/>
              <w:ind w:firstLine="567"/>
              <w:jc w:val="both"/>
              <w:rPr>
                <w:rFonts w:ascii="Calibri" w:hAnsi="Calibri" w:eastAsia="Calibri" w:cs="Calibri"/>
                <w:color w:val="000000"/>
                <w:lang w:val="uk-UA"/>
              </w:rPr>
            </w:pPr>
            <w:r>
              <w:rPr>
                <w:color w:val="0D0D0D"/>
                <w:lang w:val="uk-UA"/>
              </w:rPr>
              <w:t>До центру повідомлення про надання (відмову у наданні) статусу особи з інвалідністю внаслідок війни передається через електронний кабінет.</w:t>
            </w:r>
          </w:p>
          <w:p>
            <w:pPr>
              <w:pStyle w:val="Normal"/>
              <w:widowControl w:val="false"/>
              <w:spacing w:lineRule="auto" w:line="235"/>
              <w:jc w:val="both"/>
              <w:rPr>
                <w:rFonts w:ascii="Calibri" w:hAnsi="Calibri" w:eastAsia="Calibri" w:cs="Calibri"/>
                <w:color w:val="000000"/>
                <w:lang w:val="uk-UA"/>
              </w:rPr>
            </w:pPr>
            <w:r>
              <w:rPr>
                <w:color w:val="0D0D0D"/>
                <w:lang w:val="uk-UA"/>
              </w:rPr>
              <w:t xml:space="preserve">  </w:t>
            </w:r>
            <w:r>
              <w:rPr>
                <w:color w:val="0D0D0D"/>
                <w:lang w:val="uk-UA"/>
              </w:rPr>
              <w:t>У разі відсутності технічної можливості передати повідомлення про надання (відмову у наданні) статусу через електронний кабінет такі відомості  не пізніше ніж через три дні після їх прийняття передаються до центру у паперовій формі.</w:t>
            </w:r>
          </w:p>
          <w:p>
            <w:pPr>
              <w:pStyle w:val="Normal"/>
              <w:widowControl w:val="false"/>
              <w:ind w:firstLine="284"/>
              <w:jc w:val="both"/>
              <w:rPr>
                <w:lang w:val="uk-UA"/>
              </w:rPr>
            </w:pPr>
            <w:r>
              <w:rPr>
                <w:color w:val="0D0D0D"/>
                <w:lang w:val="uk-UA"/>
              </w:rPr>
              <w:t>У разі наявності у заявника статусу учасника бойових дій, при врученні «Посвідчення особи з інвалідністю внаслідок війни» заявник передає адміністратору центру «Посвідчення учасника бойових дій» для його подальшої передачі на зберігання управлінню за задекларованим/ зареєстрованим місцем проживання (перебування) або за адресою фактичного місця проживання (для внутрішньо переміщених осіб).</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15.</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Примітка*</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ind w:right="60" w:firstLine="567"/>
              <w:jc w:val="both"/>
              <w:rPr>
                <w:rFonts w:ascii="Calibri" w:hAnsi="Calibri" w:eastAsia="Calibri" w:cs="Calibri"/>
                <w:color w:val="000000"/>
                <w:lang w:val="uk-UA"/>
              </w:rPr>
            </w:pPr>
            <w:r>
              <w:rPr>
                <w:color w:val="0D0D0D"/>
                <w:lang w:val="uk-UA"/>
              </w:rPr>
              <w:t>Управління праці та соціального захисту населення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випадку отримання у місячний строк відповіді на запит від уповноважених органів після прийняття рішення про відмову у наданні заявнику статусу особи з інвалідністю внаслідок війни протягом одного календарного дня інформує про це заявника в електронній формі або іншими засобами зв’язку та пропонує йому повторно подати заяву у письмовій формі про надання статусу, яка долучається до раніше поданої заяви та витребуваних документів.</w:t>
            </w:r>
          </w:p>
          <w:p>
            <w:pPr>
              <w:pStyle w:val="Normal"/>
              <w:widowControl w:val="false"/>
              <w:spacing w:lineRule="auto" w:line="235"/>
              <w:ind w:right="60" w:firstLine="567"/>
              <w:jc w:val="both"/>
              <w:rPr>
                <w:color w:val="0D0D0D"/>
                <w:lang w:val="uk-UA"/>
              </w:rPr>
            </w:pPr>
            <w:r>
              <w:rPr>
                <w:color w:val="0D0D0D"/>
                <w:lang w:val="uk-UA"/>
              </w:rPr>
              <w:t>За результатами розгляду повторно поданої заяви управління приймає рішення про надання (відмову у наданні) статусу особи з інвалідністю внаслідок війни.</w:t>
            </w:r>
          </w:p>
        </w:tc>
      </w:tr>
      <w:tr>
        <w:trPr>
          <w:trHeight w:val="699" w:hRule="atLeast"/>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16.</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Спосіб та строки оскарження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highlight w:val="white"/>
                <w:lang w:val="uk-UA"/>
              </w:rPr>
            </w:pPr>
            <w:r>
              <w:rPr>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333333"/>
                <w:highlight w:val="white"/>
                <w:lang w:val="uk-UA"/>
              </w:rPr>
            </w:pPr>
            <w:r>
              <w:rPr>
                <w:color w:val="333333"/>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333333"/>
                <w:highlight w:val="white"/>
                <w:lang w:val="uk-UA"/>
              </w:rPr>
            </w:pPr>
            <w:r>
              <w:rPr>
                <w:color w:val="333333"/>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Normal"/>
              <w:widowControl w:val="false"/>
              <w:jc w:val="both"/>
              <w:rPr>
                <w:highlight w:val="white"/>
                <w:lang w:val="uk-UA"/>
              </w:rPr>
            </w:pPr>
            <w:r>
              <w:rPr>
                <w:shd w:fill="FFFFFF" w:val="clear"/>
                <w:lang w:val="uk-UA"/>
              </w:rPr>
              <w:t xml:space="preserve">     </w:t>
            </w:r>
            <w:r>
              <w:rPr>
                <w:shd w:fill="FFFFFF" w:val="clear"/>
              </w:rPr>
              <w:t>- </w:t>
            </w:r>
            <w:r>
              <w:rPr>
                <w:shd w:fill="FFFFFF" w:val="clear"/>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pPr>
              <w:pStyle w:val="Normal"/>
              <w:widowControl w:val="false"/>
              <w:rPr>
                <w:color w:val="333333"/>
                <w:highlight w:val="white"/>
                <w:lang w:val="uk-UA"/>
              </w:rPr>
            </w:pPr>
            <w:r>
              <w:rPr>
                <w:lang w:val="uk-UA"/>
              </w:rPr>
              <w:t xml:space="preserve">     </w:t>
            </w:r>
            <w:r>
              <w:rPr>
                <w:lang w:val="uk-UA"/>
              </w:rPr>
              <w:t>- інші строки оскарження для окремих видів</w:t>
            </w:r>
            <w:r>
              <w:rPr>
                <w:color w:val="333333"/>
                <w:lang w:val="uk-UA"/>
              </w:rPr>
              <w:t xml:space="preserve"> справ згідно з законодавством.</w:t>
            </w:r>
          </w:p>
          <w:p>
            <w:pPr>
              <w:pStyle w:val="Normal"/>
              <w:widowControl w:val="false"/>
              <w:ind w:firstLine="284"/>
              <w:jc w:val="both"/>
              <w:rPr>
                <w:lang w:val="uk-UA"/>
              </w:rPr>
            </w:pPr>
            <w:r>
              <w:rPr>
                <w:lang w:val="uk-UA"/>
              </w:rPr>
            </w:r>
          </w:p>
          <w:p>
            <w:pPr>
              <w:pStyle w:val="Normal"/>
              <w:widowControl w:val="false"/>
              <w:ind w:firstLine="284"/>
              <w:jc w:val="both"/>
              <w:rPr>
                <w:lang w:val="uk-UA"/>
              </w:rPr>
            </w:pPr>
            <w:r>
              <w:rPr>
                <w:lang w:val="uk-UA"/>
              </w:rPr>
              <w:t xml:space="preserve">Оскарження рішення про залишення заяви без руху можливе шляхом </w:t>
            </w:r>
            <w:bookmarkStart w:id="10" w:name="_Hlk157156100"/>
            <w:r>
              <w:rPr>
                <w:lang w:val="uk-UA"/>
              </w:rPr>
              <w:t xml:space="preserve">подання заяви </w:t>
            </w:r>
            <w:bookmarkEnd w:id="10"/>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pPr>
        <w:pStyle w:val="Normal"/>
        <w:ind w:firstLine="708"/>
        <w:jc w:val="both"/>
        <w:rPr>
          <w:lang w:val="uk-UA"/>
        </w:rPr>
      </w:pPr>
      <w:r>
        <w:rPr>
          <w:lang w:val="uk-UA"/>
        </w:rPr>
      </w:r>
    </w:p>
    <w:p>
      <w:pPr>
        <w:pStyle w:val="Normal"/>
        <w:rPr>
          <w:lang w:val="uk-UA"/>
        </w:rPr>
      </w:pPr>
      <w:r>
        <w:rPr>
          <w:lang w:val="uk-UA"/>
        </w:rPr>
        <w:t xml:space="preserve">Начальник управління праці та </w:t>
      </w:r>
    </w:p>
    <w:p>
      <w:pPr>
        <w:pStyle w:val="Normal"/>
        <w:rPr>
          <w:lang w:val="uk-UA"/>
        </w:rPr>
      </w:pPr>
      <w:r>
        <w:rPr>
          <w:lang w:val="uk-UA"/>
        </w:rPr>
        <w:t xml:space="preserve">соціального захисту населення </w:t>
      </w:r>
    </w:p>
    <w:p>
      <w:pPr>
        <w:pStyle w:val="Normal"/>
        <w:rPr>
          <w:lang w:val="uk-UA"/>
        </w:rPr>
      </w:pPr>
      <w:r>
        <w:rPr>
          <w:lang w:val="uk-UA"/>
        </w:rPr>
        <w:t xml:space="preserve">виконавчого комітету Покровської </w:t>
      </w:r>
    </w:p>
    <w:p>
      <w:pPr>
        <w:pStyle w:val="Normal"/>
        <w:rPr>
          <w:lang w:val="uk-UA"/>
        </w:rPr>
      </w:pPr>
      <w:r>
        <w:rPr>
          <w:lang w:val="uk-UA"/>
        </w:rPr>
        <w:t>міської ради Дніпропетровської області                                            Тетяна ІГНАТЮК</w:t>
      </w:r>
    </w:p>
    <w:sectPr>
      <w:headerReference w:type="default" r:id="rId2"/>
      <w:type w:val="nextPage"/>
      <w:pgSz w:w="11906" w:h="16838"/>
      <w:pgMar w:left="1701" w:right="567" w:gutter="0" w:header="766" w:top="1892"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OpenSymbol">
    <w:altName w:val="Arial Unicode MS"/>
    <w:charset w:val="cc"/>
    <w:family w:val="roman"/>
    <w:pitch w:val="variable"/>
  </w:font>
  <w:font w:name="Cambria">
    <w:charset w:val="cc"/>
    <w:family w:val="roman"/>
    <w:pitch w:val="variable"/>
  </w:font>
  <w:font w:name="Segoe UI">
    <w:charset w:val="cc"/>
    <w:family w:val="roman"/>
    <w:pitch w:val="variable"/>
  </w:font>
  <w:font w:name="Liberation Sans">
    <w:altName w:val="Arial"/>
    <w:charset w:val="cc"/>
    <w:family w:val="roman"/>
    <w:pitch w:val="variable"/>
  </w:font>
  <w:font w:name="Verdana">
    <w:charset w:val="cc"/>
    <w:family w:val="roman"/>
    <w:pitch w:val="variable"/>
  </w:font>
  <w:font w:name="Bookman Old Style">
    <w:charset w:val="cc"/>
    <w:family w:val="roman"/>
    <w:pitch w:val="variable"/>
  </w:font>
  <w:font w:name="TimesNewRomanPSMT">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pBdr/>
      <w:tabs>
        <w:tab w:val="center" w:pos="4677" w:leader="none"/>
        <w:tab w:val="center" w:pos="4819" w:leader="none"/>
        <w:tab w:val="right" w:pos="9354" w:leader="none"/>
        <w:tab w:val="right" w:pos="9355" w:leader="none"/>
        <w:tab w:val="right" w:pos="9638" w:leader="none"/>
      </w:tabs>
      <w:spacing w:lineRule="auto" w:line="240" w:before="0" w:after="0"/>
      <w:ind w:left="5669" w:right="0" w:hanging="0"/>
      <w:rPr/>
    </w:pPr>
    <w:r>
      <w:rPr>
        <w:rFonts w:cs="Cambria" w:ascii="Cambria" w:hAnsi="Cambria"/>
        <w:b/>
        <w:bCs/>
        <w:color w:val="C9211E"/>
      </w:rPr>
      <w:t>ВТРАТИЛО ЧИННІСТЬ</w:t>
    </w:r>
  </w:p>
  <w:p>
    <w:pPr>
      <w:pStyle w:val="Style31"/>
      <w:pBdr/>
      <w:tabs>
        <w:tab w:val="center" w:pos="4677" w:leader="none"/>
        <w:tab w:val="center" w:pos="4819" w:leader="none"/>
        <w:tab w:val="right" w:pos="9354" w:leader="none"/>
        <w:tab w:val="right" w:pos="9355" w:leader="none"/>
        <w:tab w:val="right" w:pos="9638" w:leader="none"/>
      </w:tabs>
      <w:spacing w:lineRule="auto" w:line="240" w:before="0" w:after="0"/>
      <w:ind w:left="5669" w:right="0" w:hanging="0"/>
      <w:rPr/>
    </w:pPr>
    <w:r>
      <w:rPr>
        <w:rFonts w:cs="Cambria" w:ascii="Cambria" w:hAnsi="Cambria"/>
        <w:b/>
        <w:bCs/>
        <w:color w:val="C9211E"/>
      </w:rPr>
      <w:t xml:space="preserve">відповідно рішення виконкому </w:t>
    </w:r>
  </w:p>
  <w:p>
    <w:pPr>
      <w:pStyle w:val="Normal"/>
      <w:widowControl/>
      <w:suppressAutoHyphens w:val="true"/>
      <w:bidi w:val="0"/>
      <w:spacing w:before="0" w:after="0"/>
      <w:ind w:left="5669" w:right="0" w:hanging="0"/>
      <w:jc w:val="left"/>
      <w:rPr/>
    </w:pPr>
    <w:r>
      <w:rPr>
        <w:rFonts w:cs="Cambria" w:ascii="Cambria" w:hAnsi="Cambria"/>
        <w:b/>
        <w:bCs/>
        <w:color w:val="C9211E"/>
      </w:rPr>
      <w:t>145/06-53-25 від 23.04.2025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2">
    <w:lvl w:ilvl="0">
      <w:start w:val="2"/>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3">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4">
    <w:lvl w:ilvl="0">
      <w:start w:val="2"/>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5">
    <w:lvl w:ilvl="0">
      <w:start w:val="1"/>
      <w:numFmt w:val="decimal"/>
      <w:lvlText w:val="%1)"/>
      <w:lvlJc w:val="left"/>
      <w:pPr>
        <w:tabs>
          <w:tab w:val="num" w:pos="0"/>
        </w:tabs>
        <w:ind w:left="567"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6">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c7dea"/>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Hyperlink"/>
    <w:basedOn w:val="DefaultParagraphFont"/>
    <w:uiPriority w:val="99"/>
    <w:semiHidden/>
    <w:unhideWhenUsed/>
    <w:rsid w:val="00a53a26"/>
    <w:rPr>
      <w:color w:val="0000FF"/>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uiPriority w:val="99"/>
    <w:semiHidden/>
    <w:qFormat/>
    <w:rsid w:val="00dd307e"/>
    <w:rPr>
      <w:rFonts w:ascii="Tahoma" w:hAnsi="Tahoma" w:eastAsia="Times New Roman" w:cs="Tahoma"/>
      <w:kern w:val="0"/>
      <w:sz w:val="16"/>
      <w:szCs w:val="16"/>
      <w:lang w:val="ru-RU" w:eastAsia="ru-RU"/>
      <w14:ligatures w14:val="none"/>
    </w:rPr>
  </w:style>
  <w:style w:type="character" w:styleId="WW8Num3z0">
    <w:name w:val="WW8Num3z0"/>
    <w:qFormat/>
    <w:rPr>
      <w:sz w:val="28"/>
      <w:szCs w:val="28"/>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z w:val="28"/>
      <w:szCs w:val="28"/>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Times New Roman" w:hAnsi="Times New Roman" w:cs="Times New Roman"/>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Spelle">
    <w:name w:val="spelle"/>
    <w:qFormat/>
    <w:rPr>
      <w:rFonts w:cs="Times New Roman"/>
    </w:rPr>
  </w:style>
  <w:style w:type="character" w:styleId="Appleconvertedspace">
    <w:name w:val="apple-converted-space"/>
    <w:qFormat/>
    <w:rPr>
      <w:rFonts w:ascii="Times New Roman" w:hAnsi="Times New Roman" w:eastAsia="Times New Roman" w:cs="Times New Roman"/>
      <w:b w:val="false"/>
      <w:i w:val="false"/>
      <w:color w:val="000000"/>
      <w:sz w:val="24"/>
      <w:szCs w:val="24"/>
      <w:u w:val="none"/>
    </w:rPr>
  </w:style>
  <w:style w:type="character" w:styleId="Rvts9">
    <w:name w:val="rvts9"/>
    <w:qFormat/>
    <w:rPr>
      <w:rFonts w:ascii="Times New Roman" w:hAnsi="Times New Roman" w:eastAsia="Times New Roman" w:cs="Times New Roman"/>
      <w:b w:val="false"/>
      <w:i w:val="false"/>
      <w:color w:val="000000"/>
      <w:sz w:val="24"/>
      <w:szCs w:val="24"/>
      <w:u w:val="none"/>
    </w:rPr>
  </w:style>
  <w:style w:type="character" w:styleId="WWCharLFO2LVL1">
    <w:name w:val="WW_CharLFO2LVL1"/>
    <w:qFormat/>
    <w:rPr>
      <w:sz w:val="28"/>
      <w:szCs w:val="28"/>
    </w:rPr>
  </w:style>
  <w:style w:type="character" w:styleId="FontStyle15">
    <w:name w:val="Font Style15"/>
    <w:qFormat/>
    <w:rPr>
      <w:rFonts w:ascii="Times New Roman" w:hAnsi="Times New Roman" w:cs="Times New Roman"/>
      <w:sz w:val="26"/>
      <w:szCs w:val="26"/>
    </w:rPr>
  </w:style>
  <w:style w:type="character" w:styleId="Style19">
    <w:name w:val="Основной шрифт абзаца"/>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Style20">
    <w:name w:val="Маркери списку"/>
    <w:qFormat/>
    <w:rPr>
      <w:rFonts w:ascii="OpenSymbol" w:hAnsi="OpenSymbol" w:eastAsia="OpenSymbol" w:cs="OpenSymbol"/>
      <w:w w:val="100"/>
      <w:sz w:val="20"/>
      <w:effect w:val="none"/>
      <w:em w:val="none"/>
    </w:rPr>
  </w:style>
  <w:style w:type="character" w:styleId="1">
    <w:name w:val="Заголовок 1 Знак"/>
    <w:qFormat/>
    <w:rPr>
      <w:rFonts w:ascii="Cambria" w:hAnsi="Cambria" w:eastAsia="Times New Roman" w:cs="Times New Roman"/>
      <w:b/>
      <w:bCs/>
      <w:w w:val="100"/>
      <w:kern w:val="2"/>
      <w:sz w:val="32"/>
      <w:szCs w:val="32"/>
      <w:effect w:val="none"/>
      <w:em w:val="none"/>
      <w:lang w:val="uk-UA" w:eastAsia="zh-CN"/>
    </w:rPr>
  </w:style>
  <w:style w:type="character" w:styleId="21">
    <w:name w:val="Заголовок 2 Знак"/>
    <w:qFormat/>
    <w:rPr>
      <w:b/>
      <w:bCs/>
      <w:w w:val="100"/>
      <w:sz w:val="36"/>
      <w:szCs w:val="36"/>
      <w:effect w:val="none"/>
      <w:em w:val="none"/>
    </w:rPr>
  </w:style>
  <w:style w:type="character" w:styleId="Style21">
    <w:name w:val="Нижний колонтитул Знак"/>
    <w:qFormat/>
    <w:rPr>
      <w:rFonts w:ascii="Calibri" w:hAnsi="Calibri" w:cs="Calibri"/>
      <w:w w:val="100"/>
      <w:sz w:val="22"/>
      <w:szCs w:val="22"/>
      <w:effect w:val="none"/>
      <w:em w:val="none"/>
      <w:lang w:val="uk-UA" w:eastAsia="zh-CN"/>
    </w:rPr>
  </w:style>
  <w:style w:type="character" w:styleId="11">
    <w:name w:val="Знак Знак11"/>
    <w:qFormat/>
    <w:rPr>
      <w:rFonts w:ascii="Calibri" w:hAnsi="Calibri" w:cs="Calibri"/>
      <w:w w:val="100"/>
      <w:sz w:val="20"/>
      <w:effect w:val="none"/>
      <w:em w:val="none"/>
      <w:lang w:val="uk-UA" w:eastAsia="zh-CN"/>
    </w:rPr>
  </w:style>
  <w:style w:type="character" w:styleId="12">
    <w:name w:val="Знак Знак1"/>
    <w:qFormat/>
    <w:rPr>
      <w:rFonts w:ascii="Calibri" w:hAnsi="Calibri" w:cs="Calibri"/>
      <w:w w:val="100"/>
      <w:sz w:val="20"/>
      <w:effect w:val="none"/>
      <w:em w:val="none"/>
      <w:lang w:val="uk-UA" w:eastAsia="zh-CN"/>
    </w:rPr>
  </w:style>
  <w:style w:type="character" w:styleId="BalloonTextChar">
    <w:name w:val="Balloon Text Char"/>
    <w:qFormat/>
    <w:rPr>
      <w:rFonts w:ascii="Segoe UI" w:hAnsi="Segoe UI" w:cs="Segoe UI"/>
      <w:w w:val="100"/>
      <w:sz w:val="18"/>
      <w:effect w:val="none"/>
      <w:em w:val="none"/>
      <w:lang w:val="uk-UA" w:eastAsia="zh-CN"/>
    </w:rPr>
  </w:style>
  <w:style w:type="character" w:styleId="BodyTextChar">
    <w:name w:val="Body Text Char"/>
    <w:qFormat/>
    <w:rPr>
      <w:rFonts w:ascii="Calibri" w:hAnsi="Calibri" w:cs="Calibri"/>
      <w:w w:val="100"/>
      <w:sz w:val="20"/>
      <w:effect w:val="none"/>
      <w:em w:val="none"/>
      <w:lang w:val="uk-UA" w:eastAsia="zh-CN"/>
    </w:rPr>
  </w:style>
  <w:style w:type="character" w:styleId="Style22">
    <w:name w:val="Маркеры списка"/>
    <w:qFormat/>
    <w:rPr>
      <w:rFonts w:ascii="OpenSymbol" w:hAnsi="OpenSymbol" w:eastAsia="OpenSymbol" w:cs="OpenSymbol"/>
      <w:w w:val="100"/>
      <w:sz w:val="20"/>
      <w:effect w:val="none"/>
      <w:em w:val="none"/>
    </w:rPr>
  </w:style>
  <w:style w:type="character" w:styleId="Style23">
    <w:name w:val="Основной текст Знак"/>
    <w:qFormat/>
    <w:rPr>
      <w:rFonts w:ascii="Times New Roman" w:hAnsi="Times New Roman" w:cs="Times New Roman"/>
      <w:w w:val="100"/>
      <w:kern w:val="2"/>
      <w:sz w:val="24"/>
      <w:effect w:val="none"/>
      <w:em w:val="none"/>
    </w:rPr>
  </w:style>
  <w:style w:type="character" w:styleId="13">
    <w:name w:val="Основной шрифт абзаца1"/>
    <w:qFormat/>
    <w:rPr>
      <w:w w:val="100"/>
      <w:sz w:val="20"/>
      <w:effect w:val="none"/>
      <w:em w:val="none"/>
    </w:rPr>
  </w:style>
  <w:style w:type="character" w:styleId="22">
    <w:name w:val="Основной шрифт абзаца2"/>
    <w:qFormat/>
    <w:rPr>
      <w:w w:val="100"/>
      <w:sz w:val="20"/>
      <w:effect w:val="none"/>
      <w:em w:val="none"/>
    </w:rPr>
  </w:style>
  <w:style w:type="character" w:styleId="WW8Num2z2">
    <w:name w:val="WW8Num2z2"/>
    <w:qFormat/>
    <w:rPr>
      <w:rFonts w:ascii="Times New Roman" w:hAnsi="Times New Roman" w:cs="Times New Roman"/>
      <w:color w:val="000000"/>
      <w:w w:val="100"/>
      <w:sz w:val="25"/>
      <w:szCs w:val="25"/>
      <w:effect w:val="none"/>
      <w:em w:val="none"/>
    </w:rPr>
  </w:style>
  <w:style w:type="character" w:styleId="WW8Num2z1">
    <w:name w:val="WW8Num2z1"/>
    <w:qFormat/>
    <w:rPr>
      <w:w w:val="100"/>
      <w:sz w:val="20"/>
      <w:effect w:val="none"/>
      <w:em w:val="none"/>
    </w:rPr>
  </w:style>
  <w:style w:type="character" w:styleId="WW8Num2z0">
    <w:name w:val="WW8Num2z0"/>
    <w:qFormat/>
    <w:rPr>
      <w:rFonts w:ascii="Times New Roman" w:hAnsi="Times New Roman" w:cs="Times New Roman"/>
      <w:color w:val="000000"/>
      <w:w w:val="100"/>
      <w:sz w:val="25"/>
      <w:szCs w:val="25"/>
      <w:effect w:val="none"/>
      <w:em w:val="none"/>
    </w:rPr>
  </w:style>
  <w:style w:type="character" w:styleId="WW8Num1z8">
    <w:name w:val="WW8Num1z8"/>
    <w:qFormat/>
    <w:rPr>
      <w:w w:val="100"/>
      <w:sz w:val="20"/>
      <w:effect w:val="none"/>
      <w:em w:val="none"/>
    </w:rPr>
  </w:style>
  <w:style w:type="character" w:styleId="WW8Num1z7">
    <w:name w:val="WW8Num1z7"/>
    <w:qFormat/>
    <w:rPr>
      <w:w w:val="100"/>
      <w:sz w:val="20"/>
      <w:effect w:val="none"/>
      <w:em w:val="none"/>
    </w:rPr>
  </w:style>
  <w:style w:type="character" w:styleId="WW8Num1z6">
    <w:name w:val="WW8Num1z6"/>
    <w:qFormat/>
    <w:rPr>
      <w:w w:val="100"/>
      <w:sz w:val="20"/>
      <w:effect w:val="none"/>
      <w:em w:val="none"/>
    </w:rPr>
  </w:style>
  <w:style w:type="character" w:styleId="WW8Num1z5">
    <w:name w:val="WW8Num1z5"/>
    <w:qFormat/>
    <w:rPr>
      <w:w w:val="100"/>
      <w:sz w:val="20"/>
      <w:effect w:val="none"/>
      <w:em w:val="none"/>
    </w:rPr>
  </w:style>
  <w:style w:type="character" w:styleId="WW8Num1z4">
    <w:name w:val="WW8Num1z4"/>
    <w:qFormat/>
    <w:rPr>
      <w:w w:val="100"/>
      <w:sz w:val="20"/>
      <w:effect w:val="none"/>
      <w:em w:val="none"/>
    </w:rPr>
  </w:style>
  <w:style w:type="character" w:styleId="WW8Num1z3">
    <w:name w:val="WW8Num1z3"/>
    <w:qFormat/>
    <w:rPr>
      <w:w w:val="100"/>
      <w:sz w:val="20"/>
      <w:effect w:val="none"/>
      <w:em w:val="none"/>
    </w:rPr>
  </w:style>
  <w:style w:type="character" w:styleId="WW8Num1z2">
    <w:name w:val="WW8Num1z2"/>
    <w:qFormat/>
    <w:rPr>
      <w:w w:val="100"/>
      <w:sz w:val="20"/>
      <w:effect w:val="none"/>
      <w:em w:val="none"/>
    </w:rPr>
  </w:style>
  <w:style w:type="character" w:styleId="WW8Num1z1">
    <w:name w:val="WW8Num1z1"/>
    <w:qFormat/>
    <w:rPr>
      <w:w w:val="100"/>
      <w:sz w:val="20"/>
      <w:effect w:val="none"/>
      <w:em w:val="none"/>
    </w:rPr>
  </w:style>
  <w:style w:type="character" w:styleId="WW8Num1z0">
    <w:name w:val="WW8Num1z0"/>
    <w:qFormat/>
    <w:rPr>
      <w:w w:val="100"/>
      <w:sz w:val="20"/>
      <w:effect w:val="none"/>
      <w:em w:val="none"/>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Lucida Sans"/>
    </w:rPr>
  </w:style>
  <w:style w:type="paragraph" w:styleId="Style27">
    <w:name w:val="Caption"/>
    <w:basedOn w:val="Normal"/>
    <w:qFormat/>
    <w:pPr>
      <w:suppressLineNumbers/>
      <w:spacing w:before="120" w:after="120"/>
    </w:pPr>
    <w:rPr>
      <w:rFonts w:cs="Arial"/>
      <w:i/>
      <w:iCs/>
      <w:sz w:val="24"/>
      <w:szCs w:val="24"/>
    </w:rPr>
  </w:style>
  <w:style w:type="paragraph" w:styleId="Style28" w:customStyle="1">
    <w:name w:val="Покажчик"/>
    <w:basedOn w:val="Normal"/>
    <w:qFormat/>
    <w:pPr>
      <w:suppressLineNumbers/>
    </w:pPr>
    <w:rPr>
      <w:rFonts w:cs="Lucida Sans"/>
    </w:rPr>
  </w:style>
  <w:style w:type="paragraph" w:styleId="Style29">
    <w:name w:val="Title"/>
    <w:basedOn w:val="Normal"/>
    <w:next w:val="Style25"/>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Style30" w:customStyle="1">
    <w:name w:val="Верхній і нижній колонтитули"/>
    <w:basedOn w:val="Normal"/>
    <w:qFormat/>
    <w:pPr/>
    <w:rPr/>
  </w:style>
  <w:style w:type="paragraph" w:styleId="Style31">
    <w:name w:val="Header"/>
    <w:basedOn w:val="Normal"/>
    <w:rsid w:val="005c7dea"/>
    <w:pPr>
      <w:tabs>
        <w:tab w:val="clear" w:pos="708"/>
        <w:tab w:val="center" w:pos="4677" w:leader="none"/>
        <w:tab w:val="right" w:pos="9355" w:leader="none"/>
      </w:tabs>
    </w:pPr>
    <w:rPr/>
  </w:style>
  <w:style w:type="paragraph" w:styleId="HTMLPreformatted">
    <w:name w:val="HTML Preformatted"/>
    <w:basedOn w:val="Normal"/>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unhideWhenUsed/>
    <w:qFormat/>
    <w:rsid w:val="005c7dea"/>
    <w:pPr/>
    <w:rPr>
      <w:sz w:val="20"/>
      <w:szCs w:val="20"/>
    </w:rPr>
  </w:style>
  <w:style w:type="paragraph" w:styleId="Annotationsubject">
    <w:name w:val="annotation subject"/>
    <w:basedOn w:val="Annotationtext"/>
    <w:next w:val="Annotationtext"/>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uiPriority w:val="99"/>
    <w:semiHidden/>
    <w:unhideWhenUsed/>
    <w:qFormat/>
    <w:rsid w:val="00dd307e"/>
    <w:pPr/>
    <w:rPr>
      <w:rFonts w:ascii="Tahoma" w:hAnsi="Tahoma" w:cs="Tahoma"/>
      <w:sz w:val="16"/>
      <w:szCs w:val="16"/>
    </w:rPr>
  </w:style>
  <w:style w:type="paragraph" w:styleId="Style32" w:customStyle="1">
    <w:name w:val="Вміст рамки"/>
    <w:basedOn w:val="Normal"/>
    <w:qFormat/>
    <w:pPr/>
    <w:rPr/>
  </w:style>
  <w:style w:type="paragraph" w:styleId="Style33">
    <w:name w:val="Обычный"/>
    <w:qFormat/>
    <w:pPr>
      <w:widowControl w:val="false"/>
      <w:pBdr/>
      <w:suppressAutoHyphens w:val="true"/>
      <w:bidi w:val="0"/>
      <w:spacing w:lineRule="auto" w:line="240" w:before="0" w:after="0"/>
      <w:jc w:val="left"/>
      <w:textAlignment w:val="baseline"/>
    </w:pPr>
    <w:rPr>
      <w:rFonts w:ascii="Liberation Serif" w:hAnsi="Liberation Serif" w:eastAsia="SimSun" w:cs="Arial"/>
      <w:b w:val="false"/>
      <w:bCs w:val="false"/>
      <w:i w:val="false"/>
      <w:iCs w:val="false"/>
      <w:caps w:val="false"/>
      <w:smallCaps w:val="false"/>
      <w:strike w:val="false"/>
      <w:dstrike w:val="false"/>
      <w:outline w:val="false"/>
      <w:color w:val="auto"/>
      <w:spacing w:val="0"/>
      <w:w w:val="100"/>
      <w:kern w:val="2"/>
      <w:sz w:val="24"/>
      <w:szCs w:val="24"/>
      <w:u w:val="none"/>
      <w:em w:val="none"/>
      <w:lang w:val="uk-UA" w:eastAsia="zh-CN" w:bidi="hi-IN"/>
    </w:rPr>
  </w:style>
  <w:style w:type="paragraph" w:styleId="LONormal">
    <w:name w:val="LO-Normal"/>
    <w:qFormat/>
    <w:pPr>
      <w:widowControl w:val="false"/>
      <w:pBdr/>
      <w:suppressAutoHyphens w:val="true"/>
      <w:bidi w:val="0"/>
      <w:spacing w:lineRule="auto" w:line="300" w:before="0" w:after="0"/>
      <w:ind w:firstLine="56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color w:val="auto"/>
      <w:spacing w:val="0"/>
      <w:w w:val="100"/>
      <w:kern w:val="2"/>
      <w:sz w:val="24"/>
      <w:szCs w:val="20"/>
      <w:u w:val="none"/>
      <w:em w:val="none"/>
      <w:lang w:val="uk-UA" w:eastAsia="zh-CN" w:bidi="ar-SA"/>
    </w:rPr>
  </w:style>
  <w:style w:type="paragraph" w:styleId="Style34">
    <w:name w:val="Обычный (веб)"/>
    <w:basedOn w:val="Normal"/>
    <w:qFormat/>
    <w:pPr>
      <w:pBdr/>
      <w:spacing w:before="280" w:after="280"/>
    </w:pPr>
    <w:rPr>
      <w:lang w:val="ru-RU"/>
    </w:rPr>
  </w:style>
  <w:style w:type="paragraph" w:styleId="Style35">
    <w:name w:val="Знак Знак Знак Знак Знак Знак Знак"/>
    <w:basedOn w:val="Normal"/>
    <w:qFormat/>
    <w:pPr>
      <w:pBdr/>
      <w:suppressAutoHyphens w:val="false"/>
    </w:pPr>
    <w:rPr>
      <w:rFonts w:ascii="Verdana" w:hAnsi="Verdana" w:cs="Verdana"/>
      <w:lang w:val="en-US"/>
    </w:rPr>
  </w:style>
  <w:style w:type="paragraph" w:styleId="CharChar">
    <w:name w:val="Char Знак Знак Char Знак Знак Знак Знак Знак Знак Знак Знак Знак Знак Знак Знак Знак"/>
    <w:basedOn w:val="Normal"/>
    <w:qFormat/>
    <w:pPr>
      <w:pBdr/>
      <w:suppressAutoHyphens w:val="false"/>
    </w:pPr>
    <w:rPr>
      <w:rFonts w:ascii="Verdana" w:hAnsi="Verdana" w:cs="Verdana"/>
      <w:lang w:val="en-US"/>
    </w:rPr>
  </w:style>
  <w:style w:type="paragraph" w:styleId="14">
    <w:name w:val="Знак Знак1 Знак"/>
    <w:basedOn w:val="Normal"/>
    <w:qFormat/>
    <w:pPr>
      <w:pBdr/>
      <w:suppressAutoHyphens w:val="false"/>
    </w:pPr>
    <w:rPr>
      <w:rFonts w:ascii="Verdana" w:hAnsi="Verdana" w:cs="Verdana"/>
      <w:lang w:val="en-US"/>
    </w:rPr>
  </w:style>
  <w:style w:type="paragraph" w:styleId="Style36">
    <w:name w:val="Верхний и нижний колонтитулы"/>
    <w:basedOn w:val="Normal"/>
    <w:qFormat/>
    <w:pPr>
      <w:pBdr/>
      <w:tabs>
        <w:tab w:val="clear" w:pos="708"/>
        <w:tab w:val="center" w:pos="4819" w:leader="none"/>
        <w:tab w:val="right" w:pos="9638" w:leader="none"/>
      </w:tabs>
    </w:pPr>
    <w:rPr/>
  </w:style>
  <w:style w:type="paragraph" w:styleId="Style37">
    <w:name w:val="Текст выноски"/>
    <w:qFormat/>
    <w:pPr>
      <w:widowControl w:val="false"/>
      <w:pBdr/>
      <w:suppressAutoHyphens w:val="true"/>
      <w:bidi w:val="0"/>
      <w:spacing w:before="0" w:after="0"/>
      <w:jc w:val="left"/>
    </w:pPr>
    <w:rPr>
      <w:rFonts w:ascii="Tahoma" w:hAnsi="Tahoma" w:eastAsia="SimSun" w:cs="Mangal"/>
      <w:color w:val="auto"/>
      <w:kern w:val="2"/>
      <w:sz w:val="16"/>
      <w:szCs w:val="14"/>
      <w:lang w:val="uk-UA" w:eastAsia="zh-CN" w:bidi="hi-IN"/>
    </w:rPr>
  </w:style>
  <w:style w:type="paragraph" w:styleId="WW">
    <w:name w:val="WW-Верхній колонтитул"/>
    <w:basedOn w:val="Normal"/>
    <w:qFormat/>
    <w:pPr>
      <w:pBdr/>
      <w:tabs>
        <w:tab w:val="clear" w:pos="708"/>
        <w:tab w:val="center" w:pos="4819" w:leader="none"/>
        <w:tab w:val="right" w:pos="9638" w:leader="none"/>
      </w:tabs>
    </w:pPr>
    <w:rPr/>
  </w:style>
  <w:style w:type="paragraph" w:styleId="WW1">
    <w:name w:val="WW-Нижній колонтитул"/>
    <w:basedOn w:val="Normal"/>
    <w:qFormat/>
    <w:pPr>
      <w:pBdr/>
      <w:tabs>
        <w:tab w:val="clear" w:pos="708"/>
        <w:tab w:val="center" w:pos="4819" w:leader="none"/>
        <w:tab w:val="right" w:pos="9638" w:leader="none"/>
      </w:tabs>
    </w:pPr>
    <w:rPr/>
  </w:style>
  <w:style w:type="paragraph" w:styleId="Style38">
    <w:name w:val="Содержимое врезки"/>
    <w:basedOn w:val="Normal"/>
    <w:qFormat/>
    <w:pPr/>
    <w:rPr/>
  </w:style>
  <w:style w:type="paragraph" w:styleId="Style39">
    <w:name w:val="Название объекта"/>
    <w:basedOn w:val="Normal"/>
    <w:qFormat/>
    <w:pPr>
      <w:spacing w:before="120" w:after="120"/>
    </w:pPr>
    <w:rPr>
      <w:i/>
      <w:iCs/>
    </w:rPr>
  </w:style>
  <w:style w:type="paragraph" w:styleId="Style40">
    <w:name w:val="Указатель"/>
    <w:basedOn w:val="Normal"/>
    <w:qFormat/>
    <w:pPr/>
    <w:rPr>
      <w:rFonts w:cs="Lucida Sans"/>
      <w:lang w:val="zxx" w:eastAsia="zxx" w:bidi="zxx"/>
    </w:rPr>
  </w:style>
  <w:style w:type="paragraph" w:styleId="Style41">
    <w:name w:val="Содержимое таблицы"/>
    <w:basedOn w:val="Normal"/>
    <w:qFormat/>
    <w:pPr/>
    <w:rPr>
      <w:color w:val="00000A"/>
    </w:rPr>
  </w:style>
  <w:style w:type="paragraph" w:styleId="NoSpacing">
    <w:name w:val="No Spacing"/>
    <w:qFormat/>
    <w:pPr>
      <w:widowControl/>
      <w:suppressAutoHyphens w:val="true"/>
      <w:bidi w:val="0"/>
      <w:spacing w:lineRule="atLeast" w:line="1" w:before="0" w:after="0"/>
      <w:jc w:val="left"/>
      <w:textAlignment w:val="top"/>
    </w:pPr>
    <w:rPr>
      <w:rFonts w:ascii="Calibri" w:hAnsi="Calibri" w:eastAsia="Calibri" w:cs="Lucida Sans"/>
      <w:color w:val="auto"/>
      <w:kern w:val="0"/>
      <w:sz w:val="22"/>
      <w:szCs w:val="22"/>
      <w:lang w:val="ru-RU" w:eastAsia="en-US" w:bidi="ar-SA"/>
    </w:rPr>
  </w:style>
  <w:style w:type="paragraph" w:styleId="BodyText2">
    <w:name w:val="Body Text 2"/>
    <w:basedOn w:val="Normal"/>
    <w:qFormat/>
    <w:pPr>
      <w:widowControl w:val="false"/>
      <w:spacing w:lineRule="exact" w:line="240" w:before="0" w:after="0"/>
      <w:ind w:firstLine="720"/>
      <w:jc w:val="center"/>
    </w:pPr>
    <w:rPr>
      <w:rFonts w:ascii="Times New Roman" w:hAnsi="Times New Roman" w:eastAsia="Andale Sans UI" w:cs="Times New Roman"/>
      <w:kern w:val="2"/>
      <w:szCs w:val="20"/>
    </w:rPr>
  </w:style>
  <w:style w:type="paragraph" w:styleId="4">
    <w:name w:val="заголовок 4"/>
    <w:basedOn w:val="Normal"/>
    <w:next w:val="Normal"/>
    <w:qFormat/>
    <w:pPr>
      <w:keepNext w:val="true"/>
      <w:spacing w:lineRule="exact" w:line="240" w:before="0" w:after="0"/>
      <w:ind w:firstLine="1701"/>
      <w:jc w:val="both"/>
    </w:pPr>
    <w:rPr>
      <w:rFonts w:ascii="Bookman Old Style" w:hAnsi="Bookman Old Style" w:cs="Bookman Old Style"/>
      <w:kern w:val="2"/>
      <w:sz w:val="27"/>
      <w:szCs w:val="27"/>
      <w:lang w:val="ru-RU"/>
    </w:rPr>
  </w:style>
  <w:style w:type="paragraph" w:styleId="141">
    <w:name w:val="Обычный + 14 пт"/>
    <w:basedOn w:val="Normal"/>
    <w:qFormat/>
    <w:pPr>
      <w:widowControl w:val="false"/>
      <w:tabs>
        <w:tab w:val="clear" w:pos="708"/>
        <w:tab w:val="left" w:pos="540" w:leader="none"/>
      </w:tabs>
      <w:spacing w:lineRule="exact" w:line="240" w:before="0" w:after="0"/>
      <w:jc w:val="both"/>
    </w:pPr>
    <w:rPr>
      <w:rFonts w:ascii="Times New Roman" w:hAnsi="Times New Roman" w:cs="Times New Roman"/>
      <w:kern w:val="2"/>
      <w:sz w:val="28"/>
      <w:szCs w:val="28"/>
    </w:rPr>
  </w:style>
  <w:style w:type="paragraph" w:styleId="BodyText21">
    <w:name w:val="Body Text 21"/>
    <w:basedOn w:val="Normal"/>
    <w:qFormat/>
    <w:pPr>
      <w:widowControl w:val="false"/>
      <w:spacing w:lineRule="exact" w:line="240" w:before="0" w:after="0"/>
      <w:ind w:firstLine="720"/>
      <w:jc w:val="center"/>
    </w:pPr>
    <w:rPr>
      <w:rFonts w:ascii="Times New Roman" w:hAnsi="Times New Roman" w:cs="Times New Roman"/>
      <w:kern w:val="2"/>
      <w:szCs w:val="20"/>
    </w:rPr>
  </w:style>
  <w:style w:type="paragraph" w:styleId="15">
    <w:name w:val="Указатель1"/>
    <w:basedOn w:val="Normal"/>
    <w:qFormat/>
    <w:pPr/>
    <w:rPr/>
  </w:style>
  <w:style w:type="paragraph" w:styleId="16">
    <w:name w:val="Название объекта1"/>
    <w:basedOn w:val="Normal"/>
    <w:qFormat/>
    <w:pPr>
      <w:spacing w:before="120" w:after="120"/>
    </w:pPr>
    <w:rPr>
      <w:rFonts w:cs="Lohit Devanagari"/>
      <w:i/>
      <w:iCs/>
    </w:rPr>
  </w:style>
  <w:style w:type="paragraph" w:styleId="23">
    <w:name w:val="Указатель2"/>
    <w:basedOn w:val="Normal"/>
    <w:qFormat/>
    <w:pPr/>
    <w:rPr>
      <w:rFonts w:cs="Lohit Devanagari"/>
    </w:rPr>
  </w:style>
  <w:style w:type="paragraph" w:styleId="Style42">
    <w:name w:val="Название"/>
    <w:basedOn w:val="Normal"/>
    <w:qFormat/>
    <w:pPr>
      <w:spacing w:before="120" w:after="120"/>
    </w:pPr>
    <w:rPr>
      <w:rFonts w:cs="Lohit Devanagari"/>
      <w:i/>
      <w:iCs/>
    </w:rPr>
  </w:style>
  <w:style w:type="paragraph" w:styleId="17">
    <w:name w:val="Заголовок1"/>
    <w:basedOn w:val="Normal"/>
    <w:qFormat/>
    <w:pPr>
      <w:keepNext w:val="true"/>
      <w:spacing w:before="240" w:after="120"/>
    </w:pPr>
    <w:rPr>
      <w:rFonts w:ascii="Liberation Sans" w:hAnsi="Liberation Sans" w:eastAsia="Microsoft YaHei"/>
      <w:sz w:val="28"/>
      <w:szCs w:val="28"/>
    </w:rPr>
  </w:style>
  <w:style w:type="paragraph" w:styleId="LOnormal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Application>LibreOffice/7.4.3.2$Windows_X86_64 LibreOffice_project/1048a8393ae2eeec98dff31b5c133c5f1d08b890</Application>
  <AppVersion>15.0000</AppVersion>
  <Pages>18</Pages>
  <Words>4716</Words>
  <Characters>33162</Characters>
  <CharactersWithSpaces>37968</CharactersWithSpaces>
  <Paragraphs>199</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Тетяна Олександрівна</dc:creator>
  <dc:description/>
  <dc:language>uk-UA</dc:language>
  <cp:lastModifiedBy/>
  <dcterms:modified xsi:type="dcterms:W3CDTF">2025-08-04T12:54:37Z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