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5180965</wp:posOffset>
                </wp:positionH>
                <wp:positionV relativeFrom="paragraph">
                  <wp:posOffset>15875</wp:posOffset>
                </wp:positionV>
                <wp:extent cx="733425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7.95pt;margin-top:1.25pt;width:57.7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-32385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/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611/016-53-23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LibreOffice/7.4.3.2$Windows_X86_64 LibreOffice_project/1048a8393ae2eeec98dff31b5c133c5f1d08b890</Application>
  <AppVersion>15.0000</AppVersion>
  <Pages>1</Pages>
  <Words>264</Words>
  <Characters>1836</Characters>
  <CharactersWithSpaces>2239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2023-11-13T16:22:05Z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