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5419090</wp:posOffset>
                </wp:positionH>
                <wp:positionV relativeFrom="paragraph">
                  <wp:posOffset>-168275</wp:posOffset>
                </wp:positionV>
                <wp:extent cx="762000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12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6.7pt;margin-top:-13.25pt;width:59.95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-356235</wp:posOffset>
            </wp:positionV>
            <wp:extent cx="389255" cy="56959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3" t="-534" r="-733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596/06-53-23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25.06.1988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(довідка про реєстрацію місця проживання особи за відомостями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; 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та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LibreOffice/7.4.3.2$Windows_X86_64 LibreOffice_project/1048a8393ae2eeec98dff31b5c133c5f1d08b890</Application>
  <AppVersion>15.0000</AppVersion>
  <Pages>1</Pages>
  <Words>265</Words>
  <Characters>1834</Characters>
  <CharactersWithSpaces>2236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2023-11-13T15:35:24Z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