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-440690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25.07.2024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550/06-53-24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3/4 часток квартири</w:t>
      </w:r>
    </w:p>
    <w:p>
      <w:pPr>
        <w:pStyle w:val="Style20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 3/4 часток</w:t>
      </w:r>
      <w:r>
        <w:rPr>
          <w:spacing w:val="1"/>
          <w:sz w:val="28"/>
          <w:szCs w:val="28"/>
        </w:rPr>
        <w:t xml:space="preserve">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Style w:val="1"/>
          <w:rFonts w:eastAsia="Calibri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Style w:val="1"/>
          <w:rFonts w:eastAsia="Calibri" w:cs="Times New Roman"/>
          <w:b w:val="false"/>
          <w:bCs w:val="false"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Квартира за вищевказаною адресою належить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в рівних частках на підставі свідоцтва про право власності на житло, видан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ого</w:t>
      </w:r>
      <w:r>
        <w:rPr>
          <w:spacing w:val="1"/>
          <w:sz w:val="28"/>
          <w:szCs w:val="28"/>
        </w:rPr>
        <w:t xml:space="preserve"> 02.09.1996 року відділом комунальної власності міськвиконкому м.Орджонікідзе, реєстровий №6965.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житловому приміщенні за адресою: Дніпропетровська обл., Нікопольський р-н,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зареєстроване місце проживання сина заявників, малолітнього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21.06.2024 №372), права якого при здійсненні правочину порушені не будуть.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18.07.2024 </w:t>
      </w:r>
      <w:r>
        <w:rPr>
          <w:sz w:val="28"/>
          <w:szCs w:val="28"/>
        </w:rPr>
        <w:t>№17,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1.Надати дозвіл на укладання договору дарування 3/4 часток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3/4 часток квартири за адресою: Дніпропетровська область, Нікопольський район, м.Покров, </w:t>
      </w:r>
      <w:r>
        <w:rPr>
          <w:rFonts w:ascii="Times New Roman" w:hAnsi="Times New Roman"/>
          <w:spacing w:val="1"/>
          <w:sz w:val="28"/>
          <w:szCs w:val="28"/>
        </w:rPr>
        <w:t>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Style20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20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117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LibreOffice/7.4.3.2$Windows_X86_64 LibreOffice_project/1048a8393ae2eeec98dff31b5c133c5f1d08b890</Application>
  <AppVersion>15.0000</AppVersion>
  <Pages>2</Pages>
  <Words>320</Words>
  <Characters>2353</Characters>
  <CharactersWithSpaces>2804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2024-07-31T10:51:47Z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