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25.07.2024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>546/06-53-24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малолітній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малолітня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03.07.2024 року (свідоцтво про смерть, серія ІІ-КИ №189618,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помер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І-КИ №574549, видане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відділом державної реєстрації актів цивільного стану реєстраційної служби Орджонікідзевського міського управління юстиції у Дніпропетровській області).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малолітній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paragraph" w:styleId="21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LibreOffice/7.4.3.2$Windows_X86_64 LibreOffice_project/1048a8393ae2eeec98dff31b5c133c5f1d08b890</Application>
  <AppVersion>15.0000</AppVersion>
  <Pages>1</Pages>
  <Words>214</Words>
  <Characters>1635</Characters>
  <CharactersWithSpaces>1993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2024-07-31T10:34:59Z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