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5669280</wp:posOffset>
                </wp:positionH>
                <wp:positionV relativeFrom="page">
                  <wp:posOffset>409575</wp:posOffset>
                </wp:positionV>
                <wp:extent cx="657225" cy="2082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207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46.4pt;margin-top:32.25pt;width:51.65pt;height:16.3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 xml:space="preserve">26.11.2021 р.  </w:t>
      </w:r>
      <w:r>
        <w:rPr>
          <w:rFonts w:eastAsia="Noto Serif CJK SC" w:cs="Lohit Devanagari"/>
          <w:b/>
          <w:bCs/>
          <w:color w:val="auto"/>
          <w:kern w:val="2"/>
          <w:sz w:val="28"/>
          <w:szCs w:val="28"/>
          <w:lang w:val="uk-UA" w:eastAsia="zh-CN" w:bidi="hi-IN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eastAsia="Noto Serif CJK SC" w:cs="Lohit Devanagari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536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затвердження умов оренди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нежитлової будівлі та нежитлового прибудованого приміщення (гараж), які розташовані по вул.Чехова, 11а в м.Покров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, включених до Переліку першого типу</w:t>
      </w:r>
    </w:p>
    <w:p>
      <w:pPr>
        <w:pStyle w:val="Style17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зав'язк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у із включенням до Переліку першого типу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нежитлової будівлі та нежитлового прибудованого приміщення (гараж), загальною площею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172,2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кв.м.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, які розташовані по вул.Чехова, 11а в м.Покров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керуючись Законом України "Про оренду де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ржавного та комунального майна" від 03.10.2019 №157-ІХ, “Порядком переда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будівля та нежитлов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прибудован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приміщення (гараж),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172,2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кв.м., які розташовані по вул.Чехова, 11а в м.Покров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передача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якого здійснюється на аукціоні, додаються.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цього рішення покласти  на заступника міського голови Чистякова О.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Олександр ШАПОВАЛ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Calibri" w:cs="Times New Roman"/>
          <w:color w:val="000000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Noto Serif CJK SC" w:cs="Lohit Devanagari"/>
          <w:b/>
          <w:bCs/>
          <w:color w:val="auto"/>
          <w:kern w:val="2"/>
          <w:sz w:val="28"/>
          <w:szCs w:val="28"/>
          <w:lang w:val="uk-UA" w:eastAsia="zh-CN" w:bidi="hi-IN"/>
        </w:rPr>
        <w:t xml:space="preserve">26.11.2021 р.  </w:t>
      </w:r>
      <w:r>
        <w:rPr>
          <w:rFonts w:eastAsia="Noto Serif CJK SC" w:cs="Lohit Devanagari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№</w:t>
      </w:r>
      <w:r>
        <w:rPr>
          <w:rFonts w:eastAsia="Noto Serif CJK SC" w:cs="Lohit Devanagari"/>
          <w:b/>
          <w:bCs/>
          <w:color w:val="auto"/>
          <w:kern w:val="2"/>
          <w:sz w:val="28"/>
          <w:szCs w:val="28"/>
          <w:lang w:val="uk-UA" w:eastAsia="zh-CN" w:bidi="hi-IN"/>
        </w:rPr>
        <w:t xml:space="preserve"> 536 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>нежитлова будівля та нежитлов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 xml:space="preserve"> прибудован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 xml:space="preserve"> приміщення (гараж),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172,2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кв.м.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>, які розташовані по вул.Чехова, 11а в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 Умови, на яких здійснюється оренда об’єкта оренди, включеного до Переліку першого типу, а саме: 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>нежитлова будівля та нежитлов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 xml:space="preserve"> прибудован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 xml:space="preserve"> приміщення (гараж),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172,2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кв.м.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>, які розташовані по вул.Чехова, 11а в м.Покров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” (далі — Об'єкт оренди):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76" w:before="57" w:after="5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3876,32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76" w:before="57" w:after="5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із зниженням стартової ціни -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 xml:space="preserve"> 1938,16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76" w:before="57" w:after="5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 xml:space="preserve"> 1938,16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76" w:before="57" w:after="5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76" w:before="57" w:after="5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1.3. Розмір гарантійного внеску для участі в електронному аукціоні становить 19544,7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грн.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600,00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1.5. Кількість кроків аукціону за методом покрокового зниження стартової орендної плати та подальшого подання цінових пропозицій становить 1 крок.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. Додаткові умови оренди:</w:t>
      </w:r>
    </w:p>
    <w:p>
      <w:pPr>
        <w:pStyle w:val="Normal"/>
        <w:spacing w:lineRule="auto" w:line="276" w:before="114" w:after="114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uk-UA"/>
        </w:rPr>
        <w:t>2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Об’єкт оренди може бути використаний за цільовим призначенням на розсуд орендаря, за винятком таких цільових призначень: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 w:bidi="ar-SA"/>
        </w:rPr>
        <w:t>-  б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ібліотеки. Театри. Кінотеатри, діяльність з кінопоказів;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 науково-дослідні установи, наукові парки;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</w:t>
      </w:r>
      <w:r>
        <w:rPr>
          <w:rFonts w:cs="Times New Roman" w:ascii="Times New Roman" w:hAnsi="Times New Roman"/>
          <w:color w:val="191919"/>
          <w:sz w:val="28"/>
          <w:szCs w:val="28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bidi w:val="0"/>
        <w:spacing w:lineRule="auto" w:line="276" w:before="0" w:after="143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Тетяна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СІДАШОВА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LibreOffice/7.1.3.2$Windows_X86_64 LibreOffice_project/47f78053abe362b9384784d31a6e56f8511eb1c1</Application>
  <AppVersion>15.0000</AppVersion>
  <Pages>3</Pages>
  <Words>489</Words>
  <Characters>3272</Characters>
  <CharactersWithSpaces>4112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2021-11-26T15:46:59Z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