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5336540</wp:posOffset>
                </wp:positionH>
                <wp:positionV relativeFrom="paragraph">
                  <wp:posOffset>-510540</wp:posOffset>
                </wp:positionV>
                <wp:extent cx="884555" cy="25209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800" cy="25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oto Serif CJK SC" w:cs="Lohit Devanagari" w:ascii="Liberation Serif" w:hAnsi="Liberation Serif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20.2pt;margin-top:-40.2pt;width:69.55pt;height:19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1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Noto Serif CJK SC" w:cs="Lohit Devanagari" w:ascii="Liberation Serif" w:hAnsi="Liberation Serif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75920" cy="55626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9" t="-352" r="-489" b="-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117590" cy="1143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7pt" to="482.9pt,2.4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color w:val="auto"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color w:val="auto"/>
          <w:sz w:val="28"/>
          <w:szCs w:val="28"/>
          <w:lang w:val="uk-UA"/>
        </w:rPr>
        <w:t xml:space="preserve">16.11.2021р.          </w:t>
      </w:r>
      <w:r>
        <w:rPr>
          <w:color w:val="auto"/>
          <w:sz w:val="28"/>
          <w:szCs w:val="28"/>
          <w:lang w:val="ru-RU"/>
        </w:rPr>
        <w:t xml:space="preserve">                           </w:t>
        <w:tab/>
        <w:t xml:space="preserve">м.Покров                      </w:t>
        <w:tab/>
        <w:tab/>
        <w:tab/>
      </w:r>
      <w:r>
        <w:rPr>
          <w:color w:val="auto"/>
          <w:sz w:val="28"/>
          <w:szCs w:val="28"/>
          <w:lang w:val="uk-UA"/>
        </w:rPr>
        <w:t>№53</w:t>
      </w:r>
      <w:r>
        <w:rPr>
          <w:color w:val="auto"/>
          <w:sz w:val="28"/>
          <w:szCs w:val="28"/>
          <w:lang w:val="uk-UA"/>
        </w:rPr>
        <w:t>2</w:t>
      </w:r>
    </w:p>
    <w:tbl>
      <w:tblPr>
        <w:tblW w:w="57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rPr>
          <w:trHeight w:val="968" w:hRule="atLeast"/>
        </w:trPr>
        <w:tc>
          <w:tcPr>
            <w:tcW w:w="573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Times New Roman" w:cs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Про включення до Переліку першого типу нежитлової будівлі та нежитлового прибудованого приміщення (гараж), які розташован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eastAsia="ru-RU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 по вул.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eastAsia="ru-RU" w:bidi="ar-SA"/>
              </w:rPr>
              <w:t>Чехова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, 11а в м.Покров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ПМКП “Добробут”,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12.11.2021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клопот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ання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3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auto" w:val="clear"/>
            <w:lang w:val="zxx" w:eastAsia="ru-RU" w:bidi="zxx"/>
          </w:rPr>
          <w:t>RGLA001-UA-20211112-58721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про включення потенційного об’єкта оренди “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нежитлової будівлі та нежитлового прибудованого приміщення (гараж), які розташован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і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Чехова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, 11а в м.Покров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(ID об'єкта:</w:t>
      </w: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hyperlink r:id="rId4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auto" w:val="clear"/>
            <w:lang w:val="zxx" w:eastAsia="ru-RU" w:bidi="zxx"/>
          </w:rPr>
          <w:t>RGL001-UA-20211111-26858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 до Переліку першого типу та наказ від 03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.11.2021 року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145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5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RGLA001-UA-20211108-54001</w:t>
        </w:r>
      </w:hyperlink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1. Включити до Переліку першого типу об’єкт комунальної власності Покровської міської територіальної громади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“Нежитлову будівлю та нежитлов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прибудован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приміщення (гараж), які розташован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Чехова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11а в м.Покров”.</w:t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Чистякова О.Г.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Liberation Serif;Times New Roman" w:ascii="Liberation Serif;Times New Roman" w:hAnsi="Liberation Serif;Times New Roman"/>
          <w:color w:val="auto"/>
          <w:sz w:val="28"/>
          <w:szCs w:val="28"/>
          <w:lang w:eastAsia="ru-RU"/>
        </w:rPr>
        <w:t xml:space="preserve">Міський голова                                     </w:t>
        <w:tab/>
        <w:t xml:space="preserve">           </w:t>
        <w:tab/>
        <w:t xml:space="preserve">      Олександр ШАПОВАЛ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val="uk-UA" w:eastAsia="zh-CN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3">
    <w:name w:val="Основной текст 3"/>
    <w:basedOn w:val="Normal"/>
    <w:qFormat/>
    <w:pPr>
      <w:jc w:val="center"/>
    </w:pPr>
    <w:rPr>
      <w:sz w:val="24"/>
      <w:lang w:val="uk-UA"/>
    </w:rPr>
  </w:style>
  <w:style w:type="paragraph" w:styleId="Style28">
    <w:name w:val="Вміст таблиці"/>
    <w:basedOn w:val="Normal"/>
    <w:qFormat/>
    <w:pPr>
      <w:widowControl w:val="false"/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Вміст рам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parent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_paren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ВК_x005F_x0000__x005F_x0000__x005F_x0000_</Template>
  <TotalTime>2112</TotalTime>
  <Application>LibreOffice/7.1.3.2$Windows_X86_64 LibreOffice_project/47f78053abe362b9384784d31a6e56f8511eb1c1</Application>
  <AppVersion>15.0000</AppVersion>
  <Pages>1</Pages>
  <Words>166</Words>
  <Characters>1208</Characters>
  <CharactersWithSpaces>1489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2019-02-18T08:12:00Z</dcterms:created>
  <dc:creator>Ekonomika02</dc:creator>
  <dc:description/>
  <dc:language>uk-UA</dc:language>
  <cp:lastModifiedBy/>
  <cp:lastPrinted>1995-11-21T17:41:00Z</cp:lastPrinted>
  <dcterms:modified xsi:type="dcterms:W3CDTF">2021-11-24T10:32:15Z</dcterms:modified>
  <cp:revision>634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