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000000"/>
          <w:spacing w:val="3"/>
          <w:lang w:val="uk-UA"/>
        </w:rPr>
      </w:pPr>
      <w:r>
        <w:rPr>
          <w:b w:val="false"/>
          <w:bCs w:val="false"/>
          <w:color w:val="000000"/>
          <w:spacing w:val="3"/>
          <w:lang w:val="uk-UA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4876" w:hanging="0"/>
        <w:jc w:val="both"/>
        <w:rPr/>
      </w:pPr>
      <w:r>
        <w:rPr>
          <w:b w:val="false"/>
          <w:bCs w:val="false"/>
          <w:color w:val="000000"/>
          <w:spacing w:val="3"/>
          <w:sz w:val="28"/>
          <w:szCs w:val="28"/>
          <w:lang w:val="uk-UA"/>
        </w:rPr>
        <w:t>Про передачу з балансу на баланс комунального майна Покровської міської територіальної громади Дніпропетровської області</w:t>
      </w:r>
    </w:p>
    <w:p>
      <w:pPr>
        <w:pStyle w:val="1"/>
        <w:numPr>
          <w:ilvl w:val="0"/>
          <w:numId w:val="2"/>
        </w:numPr>
        <w:spacing w:before="411" w:after="231"/>
        <w:ind w:firstLine="709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листи керівників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Центру надання адміністративних послуг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виконавчого комітету Покровської міської ради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Дніпропетровської області та у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правління праці та соціального захисту населення виконавчого комітету Покровської міської ради Дніпропетровської області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щодо передачі з балансу на баланс комунального майна, що належить до власності Покровської міської територіальної громади Дніпропетровської області, керуючись статтями 26, 60 Закону України «Про місцеве самоврядування в Україні», міська рада</w:t>
      </w:r>
    </w:p>
    <w:p>
      <w:pPr>
        <w:pStyle w:val="Normal"/>
        <w:rPr/>
      </w:pPr>
      <w:r>
        <w:rPr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rPr>
          <w:b/>
          <w:b/>
          <w:spacing w:val="-1"/>
          <w:sz w:val="28"/>
          <w:szCs w:val="28"/>
          <w:lang w:val="uk-UA"/>
        </w:rPr>
      </w:pPr>
      <w:r>
        <w:rPr>
          <w:b/>
          <w:spacing w:val="-1"/>
          <w:sz w:val="28"/>
          <w:szCs w:val="28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shd w:fill="auto" w:val="clear"/>
          <w:lang w:val="uk-UA"/>
        </w:rPr>
        <w:t>1.Передати з балансу у</w:t>
      </w:r>
      <w:r>
        <w:rPr>
          <w:rFonts w:cs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правління праці та соціального захисту населення виконавчого комітету Покровської міської ради Дніпропетровської області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</w:t>
      </w:r>
      <w:r>
        <w:rPr>
          <w:sz w:val="28"/>
          <w:szCs w:val="28"/>
          <w:shd w:fill="auto" w:val="clear"/>
          <w:lang w:val="uk-UA"/>
        </w:rPr>
        <w:t xml:space="preserve">на баланс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/>
        </w:rPr>
        <w:t>виконавчого комітету Покровської міської ради</w:t>
      </w:r>
      <w:r>
        <w:rPr>
          <w:rFonts w:cs="Times New Roman"/>
          <w:b w:val="false"/>
          <w:sz w:val="28"/>
          <w:szCs w:val="28"/>
          <w:shd w:fill="auto" w:val="clear"/>
          <w:lang w:val="uk-UA"/>
        </w:rPr>
        <w:t xml:space="preserve"> Дніпропетровської області майно комунальної власності Покровської міської територіальної громади Дніпропетровської області згідно додатку.</w:t>
      </w:r>
    </w:p>
    <w:p>
      <w:pPr>
        <w:pStyle w:val="Normal"/>
        <w:ind w:firstLine="708"/>
        <w:jc w:val="both"/>
        <w:rPr/>
      </w:pPr>
      <w:r>
        <w:rPr>
          <w:rFonts w:cs="Times New Roman"/>
          <w:b w:val="false"/>
          <w:sz w:val="28"/>
          <w:szCs w:val="28"/>
          <w:shd w:fill="auto" w:val="clear"/>
          <w:lang w:val="uk-UA"/>
        </w:rPr>
        <w:t>2.Майно, зазначене у пункті 1 цього рішення, передати в установленому порядку згідно акта приймання-передачі, який надати на затвердження міському голові.</w:t>
      </w:r>
    </w:p>
    <w:p>
      <w:pPr>
        <w:pStyle w:val="Normal"/>
        <w:ind w:hanging="0"/>
        <w:jc w:val="both"/>
        <w:rPr/>
      </w:pPr>
      <w:r>
        <w:rPr>
          <w:sz w:val="28"/>
          <w:szCs w:val="28"/>
          <w:shd w:fill="auto" w:val="clear"/>
          <w:lang w:val="uk-UA"/>
        </w:rPr>
        <w:tab/>
        <w:t>3.Контроль за виконанням цього рішення покласти на заступників міського голови Чистякова О.Г., Бондаренко Н.О.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 (Пастух А.І.).</w:t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pacing w:val="-3"/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rPr/>
      </w:pPr>
      <w:r>
        <w:rPr>
          <w:sz w:val="18"/>
          <w:szCs w:val="18"/>
          <w:lang w:val="uk-UA"/>
        </w:rPr>
        <w:t xml:space="preserve">Рижко   42244     </w:t>
      </w:r>
    </w:p>
    <w:p>
      <w:pPr>
        <w:pStyle w:val="Normal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</w:r>
    </w:p>
    <w:p>
      <w:pPr>
        <w:pStyle w:val="Normal"/>
        <w:widowControl/>
        <w:tabs>
          <w:tab w:val="clear" w:pos="706"/>
          <w:tab w:val="left" w:pos="6765" w:leader="none"/>
        </w:tabs>
        <w:suppressAutoHyphens w:val="true"/>
        <w:overflowPunct w:val="true"/>
        <w:bidi w:val="0"/>
        <w:spacing w:lineRule="auto" w:line="240" w:before="0" w:after="29"/>
        <w:ind w:left="5443" w:right="0" w:hanging="0"/>
        <w:jc w:val="right"/>
        <w:rPr/>
      </w:pP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>Додаток</w:t>
      </w:r>
    </w:p>
    <w:p>
      <w:pPr>
        <w:pStyle w:val="Normal"/>
        <w:widowControl/>
        <w:tabs>
          <w:tab w:val="clear" w:pos="706"/>
          <w:tab w:val="left" w:pos="6765" w:leader="none"/>
        </w:tabs>
        <w:suppressAutoHyphens w:val="true"/>
        <w:overflowPunct w:val="true"/>
        <w:bidi w:val="0"/>
        <w:spacing w:lineRule="auto" w:line="240" w:before="0" w:after="29"/>
        <w:ind w:left="5443" w:right="0" w:hanging="0"/>
        <w:jc w:val="right"/>
        <w:rPr/>
      </w:pP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 xml:space="preserve">до рішення </w:t>
      </w:r>
      <w:r>
        <w:rPr>
          <w:rFonts w:eastAsia="Calibri" w:cs="Times New Roman Cyr" w:ascii="Times New Roman Cyr" w:hAnsi="Times New Roman Cyr"/>
          <w:color w:val="auto"/>
          <w:kern w:val="2"/>
          <w:sz w:val="24"/>
          <w:szCs w:val="24"/>
          <w:lang w:val="uk-UA" w:eastAsia="zh-CN" w:bidi="ar-SA"/>
        </w:rPr>
        <w:t>10</w:t>
      </w:r>
      <w:r>
        <w:rPr>
          <w:rFonts w:cs="Times New Roman Cyr" w:ascii="Times New Roman Cyr" w:hAnsi="Times New Roman Cyr"/>
          <w:sz w:val="24"/>
          <w:szCs w:val="24"/>
          <w:lang w:val="uk-UA" w:eastAsia="zh-CN" w:bidi="ar-SA"/>
        </w:rPr>
        <w:t xml:space="preserve"> сесії 8 скликання</w:t>
      </w:r>
    </w:p>
    <w:p>
      <w:pPr>
        <w:pStyle w:val="Normal"/>
        <w:widowControl/>
        <w:tabs>
          <w:tab w:val="clear" w:pos="706"/>
          <w:tab w:val="left" w:pos="6765" w:leader="none"/>
        </w:tabs>
        <w:suppressAutoHyphens w:val="true"/>
        <w:overflowPunct w:val="true"/>
        <w:bidi w:val="0"/>
        <w:spacing w:lineRule="auto" w:line="240" w:before="0" w:after="29"/>
        <w:ind w:left="5443" w:right="0" w:hanging="0"/>
        <w:jc w:val="center"/>
        <w:rPr/>
      </w:pPr>
      <w:r>
        <w:rPr>
          <w:rFonts w:eastAsia="Times New Roman Cyr" w:cs="Times New Roman Cyr" w:ascii="Times New Roman Cyr" w:hAnsi="Times New Roman Cyr"/>
          <w:color w:val="auto"/>
          <w:kern w:val="2"/>
          <w:sz w:val="24"/>
          <w:szCs w:val="24"/>
          <w:lang w:val="uk-UA" w:eastAsia="zh-CN" w:bidi="ar-SA"/>
        </w:rPr>
        <w:t xml:space="preserve">     </w:t>
      </w:r>
      <w:r>
        <w:rPr>
          <w:rFonts w:eastAsia="Calibri" w:cs="Times New Roman Cyr" w:ascii="Times New Roman Cyr" w:hAnsi="Times New Roman Cyr"/>
          <w:color w:val="auto"/>
          <w:kern w:val="2"/>
          <w:sz w:val="24"/>
          <w:szCs w:val="24"/>
          <w:lang w:val="uk-UA" w:eastAsia="zh-CN" w:bidi="ar-SA"/>
        </w:rPr>
        <w:t>23  липня</w:t>
      </w:r>
      <w:r>
        <w:rPr>
          <w:rFonts w:eastAsia="Calibri" w:cs="Times New Roman Cyr" w:ascii="Times New Roman Cyr" w:hAnsi="Times New Roman Cyr"/>
          <w:sz w:val="24"/>
          <w:szCs w:val="24"/>
          <w:lang w:val="uk-UA" w:eastAsia="zh-CN" w:bidi="ar-SA"/>
        </w:rPr>
        <w:t xml:space="preserve">  2021 р.  № </w:t>
      </w:r>
      <w:r>
        <w:rPr>
          <w:rFonts w:eastAsia="Calibri" w:cs="Times New Roman Cyr" w:ascii="Times New Roman Cyr" w:hAnsi="Times New Roman Cyr"/>
          <w:color w:val="auto"/>
          <w:kern w:val="2"/>
          <w:sz w:val="24"/>
          <w:szCs w:val="24"/>
          <w:lang w:val="uk-UA" w:eastAsia="zh-CN" w:bidi="ar-SA"/>
        </w:rPr>
        <w:t>4</w:t>
      </w:r>
    </w:p>
    <w:p>
      <w:pPr>
        <w:pStyle w:val="Normal"/>
        <w:rPr>
          <w:rFonts w:eastAsia="Calibri"/>
          <w:sz w:val="20"/>
          <w:szCs w:val="20"/>
          <w:lang w:val="uk-UA"/>
        </w:rPr>
      </w:pPr>
      <w:r>
        <w:rPr>
          <w:rFonts w:eastAsia="Calibri"/>
          <w:sz w:val="20"/>
          <w:szCs w:val="20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rFonts w:eastAsia="Calibri"/>
          <w:color w:val="000000"/>
          <w:spacing w:val="11"/>
          <w:sz w:val="26"/>
          <w:szCs w:val="26"/>
          <w:lang w:val="uk-UA"/>
        </w:rPr>
      </w:pPr>
      <w:r>
        <w:rPr>
          <w:rFonts w:eastAsia="Calibri"/>
          <w:color w:val="000000"/>
          <w:spacing w:val="11"/>
          <w:sz w:val="26"/>
          <w:szCs w:val="26"/>
          <w:lang w:val="uk-UA"/>
        </w:rPr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11"/>
          <w:sz w:val="28"/>
          <w:szCs w:val="28"/>
          <w:lang w:val="uk-UA"/>
        </w:rPr>
        <w:t xml:space="preserve">ПЕРЕЛІК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  <w:lang w:val="uk-UA"/>
        </w:rPr>
        <w:t xml:space="preserve">комунального майна, що підлягає передачі 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  <w:lang w:val="uk-UA"/>
        </w:rPr>
        <w:t xml:space="preserve">з балансу управління праці та соціального захисту населення виконавчого комітету Покровської міської ради Дніпропетровської області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  <w:lang w:val="uk-UA"/>
        </w:rPr>
        <w:t xml:space="preserve">на баланс виконавчого комітету  Покровської міської ради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sz w:val="28"/>
          <w:szCs w:val="28"/>
        </w:rPr>
      </w:pPr>
      <w:r>
        <w:rPr>
          <w:rFonts w:eastAsia="Calibri"/>
          <w:color w:val="000000"/>
          <w:spacing w:val="-1"/>
          <w:sz w:val="28"/>
          <w:szCs w:val="28"/>
          <w:lang w:val="uk-UA"/>
        </w:rPr>
        <w:t xml:space="preserve">Дніпропетровської області </w:t>
      </w:r>
    </w:p>
    <w:p>
      <w:pPr>
        <w:pStyle w:val="Normal"/>
        <w:widowControl w:val="false"/>
        <w:numPr>
          <w:ilvl w:val="0"/>
          <w:numId w:val="0"/>
        </w:numPr>
        <w:shd w:val="clear" w:fill="FFFFFF"/>
        <w:spacing w:lineRule="auto" w:line="240"/>
        <w:ind w:left="0" w:right="0" w:hanging="0"/>
        <w:jc w:val="center"/>
        <w:rPr>
          <w:rFonts w:eastAsia="Calibri"/>
          <w:spacing w:val="5"/>
          <w:sz w:val="26"/>
          <w:szCs w:val="26"/>
          <w:lang w:val="uk-UA"/>
        </w:rPr>
      </w:pPr>
      <w:r>
        <w:rPr>
          <w:rFonts w:eastAsia="Calibri"/>
          <w:spacing w:val="5"/>
          <w:sz w:val="26"/>
          <w:szCs w:val="26"/>
          <w:lang w:val="uk-UA"/>
        </w:rPr>
      </w:r>
    </w:p>
    <w:tbl>
      <w:tblPr>
        <w:tblW w:w="9750" w:type="dxa"/>
        <w:jc w:val="left"/>
        <w:tblInd w:w="-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9"/>
        <w:gridCol w:w="1957"/>
        <w:gridCol w:w="1868"/>
        <w:gridCol w:w="123"/>
        <w:gridCol w:w="1009"/>
        <w:gridCol w:w="232"/>
        <w:gridCol w:w="808"/>
        <w:gridCol w:w="275"/>
        <w:gridCol w:w="1140"/>
        <w:gridCol w:w="1745"/>
      </w:tblGrid>
      <w:tr>
        <w:trPr>
          <w:trHeight w:val="395" w:hRule="atLeast"/>
        </w:trPr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14" w:after="114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>Об’єкти нерухомого майна</w:t>
            </w:r>
          </w:p>
        </w:tc>
      </w:tr>
      <w:tr>
        <w:trPr>
          <w:trHeight w:val="735" w:hRule="atLeast"/>
        </w:trPr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/>
                <w:sz w:val="26"/>
                <w:szCs w:val="26"/>
                <w:lang w:val="uk-UA"/>
              </w:rPr>
            </w:pPr>
            <w:r>
              <w:rPr>
                <w:rFonts w:eastAsia="Calibri"/>
                <w:sz w:val="26"/>
                <w:szCs w:val="26"/>
                <w:lang w:val="uk-UA"/>
              </w:rPr>
              <w:t xml:space="preserve">№ </w:t>
            </w:r>
            <w:r>
              <w:rPr>
                <w:rFonts w:eastAsia="Calibri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 w:cs="Tahoma"/>
                <w:color w:val="auto"/>
                <w:kern w:val="2"/>
                <w:sz w:val="26"/>
                <w:szCs w:val="26"/>
                <w:lang w:val="uk-UA" w:eastAsia="zxx" w:bidi="zxx"/>
              </w:rPr>
            </w:pPr>
            <w:r>
              <w:rPr>
                <w:rFonts w:eastAsia="Calibri" w:cs="Tahoma"/>
                <w:color w:val="auto"/>
                <w:kern w:val="2"/>
                <w:sz w:val="26"/>
                <w:szCs w:val="26"/>
                <w:lang w:val="uk-UA" w:eastAsia="zxx" w:bidi="zxx"/>
              </w:rPr>
              <w:t>Назва та адреса об’єкта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  <w:t xml:space="preserve">Розташування об’єкта 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  <w:t>Номер приміщення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  <w:t>Загальна площа, кв.м.</w:t>
            </w:r>
          </w:p>
        </w:tc>
        <w:tc>
          <w:tcPr>
            <w:tcW w:w="2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</w:pPr>
            <w:r>
              <w:rPr>
                <w:rFonts w:eastAsia="Calibri" w:cs="Times New Roman"/>
                <w:color w:val="auto"/>
                <w:sz w:val="26"/>
                <w:szCs w:val="26"/>
                <w:lang w:val="uk-UA" w:eastAsia="zh-CN" w:bidi="ar-SA"/>
              </w:rPr>
              <w:t>Реквізити технічного паспорта</w:t>
            </w:r>
          </w:p>
        </w:tc>
      </w:tr>
      <w:tr>
        <w:trPr>
          <w:trHeight w:val="285" w:hRule="atLeast"/>
        </w:trPr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1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Нежитлове приміщення,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 xml:space="preserve">м. Покров, 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вул. Горького, буд.5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Перший поверх у будівлі під літерою  “А-2”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4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19,8</w:t>
            </w:r>
          </w:p>
        </w:tc>
        <w:tc>
          <w:tcPr>
            <w:tcW w:w="2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 w:cs="Times New Roman"/>
                <w:b w:val="false"/>
                <w:sz w:val="26"/>
                <w:szCs w:val="26"/>
                <w:shd w:fill="auto" w:val="clear"/>
                <w:lang w:val="uk-UA"/>
              </w:rPr>
              <w:t>технічний паспорт, складений КП “Нікопольське МБТІ” 03.05.2018 року за інвентарним номером 7898</w:t>
            </w:r>
          </w:p>
        </w:tc>
      </w:tr>
      <w:tr>
        <w:trPr>
          <w:trHeight w:val="285" w:hRule="atLeast"/>
        </w:trPr>
        <w:tc>
          <w:tcPr>
            <w:tcW w:w="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Нежитлове приміщення,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 xml:space="preserve">м. Покров, </w:t>
            </w:r>
          </w:p>
          <w:p>
            <w:pPr>
              <w:pStyle w:val="Normal"/>
              <w:widowControl w:val="false"/>
              <w:spacing w:lineRule="auto" w:line="240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вул. Горького, буд.5</w:t>
            </w:r>
          </w:p>
        </w:tc>
        <w:tc>
          <w:tcPr>
            <w:tcW w:w="19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/>
                <w:sz w:val="26"/>
                <w:szCs w:val="26"/>
                <w:shd w:fill="auto" w:val="clear"/>
                <w:lang w:val="uk-UA"/>
              </w:rPr>
              <w:t>Перший поверх у будівлі під літерою  “А-2”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 w:cs="Tahoma"/>
                <w:color w:val="000000"/>
                <w:kern w:val="2"/>
                <w:sz w:val="26"/>
                <w:szCs w:val="26"/>
                <w:shd w:fill="auto" w:val="clear"/>
                <w:lang w:val="uk-UA" w:eastAsia="zxx" w:bidi="zxx"/>
              </w:rPr>
            </w:pPr>
            <w:r>
              <w:rPr>
                <w:rFonts w:eastAsia="Calibri" w:cs="Tahoma"/>
                <w:color w:val="000000"/>
                <w:kern w:val="2"/>
                <w:sz w:val="26"/>
                <w:szCs w:val="26"/>
                <w:shd w:fill="auto" w:val="clear"/>
                <w:lang w:val="uk-UA" w:eastAsia="zxx" w:bidi="zxx"/>
              </w:rPr>
              <w:t>3</w:t>
            </w:r>
          </w:p>
        </w:tc>
        <w:tc>
          <w:tcPr>
            <w:tcW w:w="131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eastAsia="Calibri" w:cs="Tahoma"/>
                <w:color w:val="000000"/>
                <w:kern w:val="2"/>
                <w:sz w:val="26"/>
                <w:szCs w:val="26"/>
                <w:shd w:fill="auto" w:val="clear"/>
                <w:lang w:val="uk-UA" w:eastAsia="zxx" w:bidi="zxx"/>
              </w:rPr>
            </w:pPr>
            <w:r>
              <w:rPr>
                <w:rFonts w:eastAsia="Calibri" w:cs="Tahoma"/>
                <w:color w:val="000000"/>
                <w:kern w:val="2"/>
                <w:sz w:val="26"/>
                <w:szCs w:val="26"/>
                <w:shd w:fill="auto" w:val="clear"/>
                <w:lang w:val="uk-UA" w:eastAsia="zxx" w:bidi="zxx"/>
              </w:rPr>
              <w:t>2,0</w:t>
            </w:r>
          </w:p>
        </w:tc>
        <w:tc>
          <w:tcPr>
            <w:tcW w:w="2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0" w:right="0" w:hanging="0"/>
              <w:jc w:val="left"/>
              <w:rPr>
                <w:rFonts w:eastAsia="Calibri"/>
                <w:sz w:val="26"/>
                <w:szCs w:val="26"/>
                <w:shd w:fill="auto" w:val="clear"/>
                <w:lang w:val="uk-UA"/>
              </w:rPr>
            </w:pPr>
            <w:r>
              <w:rPr>
                <w:rFonts w:eastAsia="Calibri" w:cs="Times New Roman"/>
                <w:b w:val="false"/>
                <w:sz w:val="26"/>
                <w:szCs w:val="26"/>
                <w:shd w:fill="auto" w:val="clear"/>
                <w:lang w:val="uk-UA"/>
              </w:rPr>
              <w:t>технічний паспорт, складений КП “Нікопольське МБТІ” 03.05.2018 року за інвентарним номером 7898</w:t>
            </w:r>
          </w:p>
        </w:tc>
      </w:tr>
      <w:tr>
        <w:trPr/>
        <w:tc>
          <w:tcPr>
            <w:tcW w:w="97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14" w:after="11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Інше окреме індивідуально визначене майно</w:t>
            </w:r>
          </w:p>
        </w:tc>
      </w:tr>
      <w:tr>
        <w:trPr/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en-US"/>
              </w:rPr>
              <w:t>№</w:t>
            </w:r>
            <w:r>
              <w:rPr>
                <w:rFonts w:eastAsia="Times New Roman"/>
                <w:sz w:val="26"/>
                <w:szCs w:val="26"/>
                <w:lang w:val="uk-UA" w:eastAsia="en-US"/>
              </w:rPr>
              <w:t xml:space="preserve"> </w:t>
            </w:r>
            <w:r>
              <w:rPr>
                <w:sz w:val="26"/>
                <w:szCs w:val="26"/>
                <w:lang w:val="uk-UA" w:eastAsia="en-US"/>
              </w:rPr>
              <w:t>з/п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Назва об’єкта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Інвентарний номер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кількість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en-US"/>
              </w:rPr>
              <w:t>Первісна балансова вартість, грн.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en-US"/>
              </w:rPr>
              <w:t>Залишкова балансова вартість,грн.</w:t>
            </w:r>
          </w:p>
        </w:tc>
      </w:tr>
      <w:tr>
        <w:trPr>
          <w:trHeight w:val="382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Стіл для прийому громадян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11130637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3 420,77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1710,39</w:t>
            </w:r>
          </w:p>
        </w:tc>
      </w:tr>
      <w:tr>
        <w:trPr>
          <w:trHeight w:val="382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Стіл для прийому громадян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11130638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3420,77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1710,38</w:t>
            </w:r>
          </w:p>
        </w:tc>
      </w:tr>
      <w:tr>
        <w:trPr>
          <w:trHeight w:val="382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Стілець для працівника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11130645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en-US"/>
              </w:rPr>
              <w:t>1607,00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803,50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Стілець для працівника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11130646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1607,00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803,50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Стілець для прийому громадян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11130653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800,00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Стілець для прийому громадян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11130654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800,00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400,00</w:t>
            </w:r>
          </w:p>
        </w:tc>
      </w:tr>
      <w:tr>
        <w:trPr>
          <w:trHeight w:val="333" w:hRule="atLeast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Тумба для МФУ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11130662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1 627,69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813,85</w:t>
            </w:r>
          </w:p>
        </w:tc>
      </w:tr>
      <w:tr>
        <w:trPr/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3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Тумба для МФУ</w:t>
            </w:r>
          </w:p>
        </w:tc>
        <w:tc>
          <w:tcPr>
            <w:tcW w:w="1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11130663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en-US"/>
              </w:rPr>
              <w:t>1627,69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813,84</w:t>
            </w:r>
          </w:p>
        </w:tc>
      </w:tr>
      <w:tr>
        <w:trPr/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Шафа відкрита для документів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11130670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1 965,29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982,65</w:t>
            </w:r>
          </w:p>
        </w:tc>
      </w:tr>
      <w:tr>
        <w:trPr/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Багатофункціональний пристрій А4 </w:t>
            </w:r>
            <w:r>
              <w:rPr>
                <w:sz w:val="26"/>
                <w:szCs w:val="26"/>
                <w:lang w:eastAsia="en-US"/>
              </w:rPr>
              <w:t>[</w:t>
            </w:r>
            <w:r>
              <w:rPr>
                <w:sz w:val="26"/>
                <w:szCs w:val="26"/>
                <w:lang w:val="uk-UA" w:eastAsia="en-US"/>
              </w:rPr>
              <w:t xml:space="preserve">БФП </w:t>
            </w:r>
            <w:r>
              <w:rPr>
                <w:sz w:val="26"/>
                <w:szCs w:val="26"/>
                <w:lang w:val="en-US" w:eastAsia="en-US"/>
              </w:rPr>
              <w:t>Xerox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val="en-US" w:eastAsia="en-US"/>
              </w:rPr>
              <w:t>WC</w:t>
            </w:r>
            <w:r>
              <w:rPr>
                <w:sz w:val="26"/>
                <w:szCs w:val="26"/>
                <w:lang w:eastAsia="en-US"/>
              </w:rPr>
              <w:t xml:space="preserve">3345 </w:t>
            </w:r>
            <w:r>
              <w:rPr>
                <w:sz w:val="26"/>
                <w:szCs w:val="26"/>
                <w:lang w:val="en-US" w:eastAsia="en-US"/>
              </w:rPr>
              <w:t>DNIM</w:t>
            </w:r>
            <w:r>
              <w:rPr>
                <w:sz w:val="26"/>
                <w:szCs w:val="26"/>
                <w:lang w:eastAsia="en-US"/>
              </w:rPr>
              <w:t>]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11130675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10 388,23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5194,12</w:t>
            </w:r>
          </w:p>
        </w:tc>
      </w:tr>
      <w:tr>
        <w:trPr/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Персонльний комп"ютер, Тип 1 (Acer Veriton N4660G)+Операційна система для персонального комп"ютера (ліцензія)+Пакет офісних програм для персонального комп"ютера Microsoft Office Home and Business 2019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10146199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29018,09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29018,09</w:t>
            </w:r>
          </w:p>
        </w:tc>
      </w:tr>
      <w:tr>
        <w:trPr>
          <w:trHeight w:val="503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12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uk-UA" w:eastAsia="en-US"/>
              </w:rPr>
              <w:t xml:space="preserve">Монітор  </w:t>
            </w:r>
            <w:r>
              <w:rPr>
                <w:sz w:val="26"/>
                <w:szCs w:val="26"/>
                <w:lang w:val="en-US" w:eastAsia="en-US"/>
              </w:rPr>
              <w:t>[Acer KA222Qbi]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11130679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2 702,63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1351,32</w:t>
            </w:r>
          </w:p>
        </w:tc>
      </w:tr>
      <w:tr>
        <w:trPr>
          <w:trHeight w:val="251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13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Комутатор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11130459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593,74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296,87</w:t>
            </w:r>
          </w:p>
        </w:tc>
      </w:tr>
      <w:tr>
        <w:trPr>
          <w:trHeight w:val="440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14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Металеві решітки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11130052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311,00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155,50</w:t>
            </w:r>
          </w:p>
        </w:tc>
      </w:tr>
      <w:tr>
        <w:trPr>
          <w:trHeight w:val="405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15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Металеві решітки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11130053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311,00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155,50</w:t>
            </w:r>
          </w:p>
        </w:tc>
      </w:tr>
      <w:tr>
        <w:trPr>
          <w:trHeight w:val="411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16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Замок навісний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11130417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45,11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22,56</w:t>
            </w:r>
          </w:p>
        </w:tc>
      </w:tr>
      <w:tr>
        <w:trPr>
          <w:trHeight w:val="417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17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Замок навісний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11130418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45,11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22,55</w:t>
            </w:r>
          </w:p>
        </w:tc>
      </w:tr>
      <w:tr>
        <w:trPr>
          <w:trHeight w:val="281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18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Вішалка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11130159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6,40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3,20</w:t>
            </w:r>
          </w:p>
        </w:tc>
      </w:tr>
      <w:tr>
        <w:trPr>
          <w:trHeight w:val="411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19</w:t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Жалюзі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11130366</w:t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  <w:t>690,00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345,00</w:t>
            </w:r>
          </w:p>
        </w:tc>
      </w:tr>
      <w:tr>
        <w:trPr>
          <w:trHeight w:val="386" w:hRule="atLeast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6"/>
                <w:szCs w:val="26"/>
                <w:lang w:val="uk-UA" w:eastAsia="en-US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</w:r>
          </w:p>
        </w:tc>
        <w:tc>
          <w:tcPr>
            <w:tcW w:w="3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3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  <w:lang w:val="uk-UA" w:eastAsia="en-US"/>
              </w:rPr>
            </w:pPr>
            <w:r>
              <w:rPr>
                <w:sz w:val="26"/>
                <w:szCs w:val="26"/>
                <w:lang w:val="uk-UA" w:eastAsia="en-US"/>
              </w:rPr>
            </w:r>
          </w:p>
        </w:tc>
        <w:tc>
          <w:tcPr>
            <w:tcW w:w="8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Andale Sans UI;Arial Unicode MS" w:cs="Tahoma"/>
                <w:color w:val="auto"/>
                <w:kern w:val="2"/>
                <w:sz w:val="26"/>
                <w:szCs w:val="26"/>
                <w:lang w:val="uk-UA" w:eastAsia="en-US" w:bidi="zxx"/>
              </w:rPr>
            </w:pPr>
            <w:r>
              <w:rPr>
                <w:rFonts w:eastAsia="Andale Sans UI;Arial Unicode MS" w:cs="Tahoma"/>
                <w:color w:val="auto"/>
                <w:kern w:val="2"/>
                <w:sz w:val="26"/>
                <w:szCs w:val="26"/>
                <w:lang w:val="uk-UA" w:eastAsia="en-US" w:bidi="zxx"/>
              </w:rPr>
              <w:t>19</w:t>
            </w:r>
          </w:p>
        </w:tc>
        <w:tc>
          <w:tcPr>
            <w:tcW w:w="141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Andale Sans UI;Arial Unicode MS" w:cs="Tahoma"/>
                <w:color w:val="auto"/>
                <w:kern w:val="2"/>
                <w:sz w:val="26"/>
                <w:szCs w:val="26"/>
                <w:lang w:val="uk-UA" w:eastAsia="en-US" w:bidi="zxx"/>
              </w:rPr>
            </w:pPr>
            <w:r>
              <w:rPr>
                <w:rFonts w:eastAsia="Andale Sans UI;Arial Unicode MS" w:cs="Tahoma"/>
                <w:color w:val="auto"/>
                <w:kern w:val="2"/>
                <w:sz w:val="26"/>
                <w:szCs w:val="26"/>
                <w:lang w:val="uk-UA" w:eastAsia="en-US" w:bidi="zxx"/>
              </w:rPr>
              <w:t>60987,52</w:t>
            </w:r>
          </w:p>
        </w:tc>
        <w:tc>
          <w:tcPr>
            <w:tcW w:w="1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eastAsia="Andale Sans UI;Arial Unicode MS" w:cs="Tahoma"/>
                <w:color w:val="auto"/>
                <w:kern w:val="2"/>
                <w:sz w:val="26"/>
                <w:szCs w:val="26"/>
                <w:lang w:val="uk-UA" w:eastAsia="zxx" w:bidi="zxx"/>
              </w:rPr>
            </w:pPr>
            <w:r>
              <w:rPr>
                <w:rFonts w:eastAsia="Andale Sans UI;Arial Unicode MS" w:cs="Tahoma"/>
                <w:color w:val="auto"/>
                <w:kern w:val="2"/>
                <w:sz w:val="26"/>
                <w:szCs w:val="26"/>
                <w:lang w:val="uk-UA" w:eastAsia="zxx" w:bidi="zxx"/>
              </w:rPr>
              <w:t>45002,82</w:t>
            </w:r>
          </w:p>
        </w:tc>
      </w:tr>
    </w:tbl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 відділу економіки</w:t>
        <w:tab/>
        <w:tab/>
        <w:tab/>
        <w:tab/>
        <w:tab/>
        <w:tab/>
        <w:t xml:space="preserve">Т.В. </w:t>
      </w:r>
      <w:r>
        <w:rPr>
          <w:rFonts w:eastAsia="Andale Sans UI;Arial Unicode MS" w:cs="Tahoma"/>
          <w:color w:val="auto"/>
          <w:kern w:val="2"/>
          <w:sz w:val="28"/>
          <w:szCs w:val="28"/>
          <w:lang w:val="uk-UA" w:eastAsia="zxx" w:bidi="zxx"/>
        </w:rPr>
        <w:t>Сідашова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before="0" w:after="0"/>
        <w:ind w:left="0" w:right="0" w:hanging="0"/>
        <w:jc w:val="both"/>
        <w:rPr>
          <w:b w:val="false"/>
          <w:b w:val="false"/>
          <w:bCs w:val="false"/>
          <w:color w:val="000000"/>
          <w:spacing w:val="3"/>
          <w:sz w:val="28"/>
          <w:szCs w:val="28"/>
          <w:lang w:val="zxx" w:eastAsia="zxx" w:bidi="zxx"/>
        </w:rPr>
      </w:pPr>
      <w:r>
        <w:rPr/>
      </w:r>
    </w:p>
    <w:sectPr>
      <w:headerReference w:type="first" r:id="rId2"/>
      <w:type w:val="nextPage"/>
      <w:pgSz w:w="11906" w:h="16838"/>
      <w:pgMar w:left="1701" w:right="567" w:header="1134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bidi w:val="0"/>
      <w:spacing w:before="0" w:after="0"/>
      <w:jc w:val="center"/>
      <w:rPr>
        <w:lang w:val="uk-UA"/>
      </w:rPr>
    </w:pPr>
    <w:r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2844800</wp:posOffset>
          </wp:positionH>
          <wp:positionV relativeFrom="paragraph">
            <wp:posOffset>-454660</wp:posOffset>
          </wp:positionV>
          <wp:extent cx="426720" cy="607060"/>
          <wp:effectExtent l="0" t="0" r="0" b="0"/>
          <wp:wrapTopAndBottom/>
          <wp:docPr id="1" name="Зображення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Зображення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uk-UA"/>
      </w:rPr>
      <w:t xml:space="preserve"> </w:t>
    </w:r>
    <w:r>
      <w:rPr>
        <w:lang w:val="uk-UA"/>
      </w:rPr>
      <w:t xml:space="preserve">                                                                                                           </w:t>
    </w:r>
    <w:r>
      <w:rPr>
        <w:b/>
        <w:bCs/>
        <w:lang w:val="uk-UA"/>
      </w:rPr>
      <w:t xml:space="preserve">                                    </w:t>
    </w:r>
  </w:p>
  <w:p>
    <w:pPr>
      <w:pStyle w:val="Style15"/>
      <w:bidi w:val="0"/>
      <w:spacing w:before="0" w:after="0"/>
      <w:jc w:val="right"/>
      <w:rPr>
        <w:b/>
        <w:b/>
        <w:bCs/>
        <w:sz w:val="28"/>
        <w:szCs w:val="28"/>
        <w:lang w:val="uk-UA"/>
      </w:rPr>
    </w:pPr>
    <w:r>
      <w:rPr>
        <w:b/>
        <w:bCs/>
        <w:sz w:val="28"/>
        <w:szCs w:val="28"/>
        <w:lang w:val="uk-UA"/>
      </w:rPr>
      <w:t>копія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ПОКРОВСЬКА МІСЬКА РАДА</w: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bCs/>
        <w:sz w:val="28"/>
        <w:szCs w:val="28"/>
        <w:lang w:val="uk-UA"/>
      </w:rPr>
    </w:pPr>
    <w:r>
      <w:rPr>
        <w:rFonts w:cs="Times New Roman"/>
        <w:b/>
        <w:bCs/>
        <w:sz w:val="28"/>
        <w:szCs w:val="28"/>
        <w:lang w:val="uk-UA"/>
      </w:rPr>
      <w:t>ДНІПРОПЕТРОВСЬКОЇ ОБЛАСТІ</w:t>
    </w:r>
  </w:p>
  <w:p>
    <w:pPr>
      <w:pStyle w:val="Style15"/>
      <w:bidi w:val="0"/>
      <w:spacing w:before="0" w:after="0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111125</wp:posOffset>
              </wp:positionV>
              <wp:extent cx="6130290" cy="24765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29720" cy="1152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8.75pt" to="483.9pt,9.6pt" ID="Фігура1" stroked="t" style="position:absolute;flip:y">
              <v:stroke color="black" weight="17640" joinstyle="round" endcap="flat"/>
              <v:fill o:detectmouseclick="t" on="false"/>
              <w10:wrap type="none"/>
            </v:line>
          </w:pict>
        </mc:Fallback>
      </mc:AlternateContent>
    </w:r>
  </w:p>
  <w:p>
    <w:pPr>
      <w:pStyle w:val="Style15"/>
      <w:bidi w:val="0"/>
      <w:spacing w:before="0" w:after="0"/>
      <w:jc w:val="center"/>
      <w:rPr>
        <w:rFonts w:ascii="Times New Roman" w:hAnsi="Times New Roman" w:cs="Times New Roman"/>
        <w:b/>
        <w:b/>
        <w:sz w:val="28"/>
        <w:szCs w:val="28"/>
        <w:lang w:val="uk-UA"/>
      </w:rPr>
    </w:pPr>
    <w:r>
      <w:rPr>
        <w:rFonts w:cs="Times New Roman"/>
        <w:b/>
        <w:sz w:val="28"/>
        <w:szCs w:val="28"/>
        <w:lang w:val="uk-UA"/>
      </w:rPr>
      <w:t xml:space="preserve"> </w:t>
    </w:r>
    <w:r>
      <w:rPr>
        <w:rFonts w:cs="Times New Roman"/>
        <w:b/>
        <w:sz w:val="28"/>
        <w:szCs w:val="28"/>
        <w:lang w:val="uk-UA"/>
      </w:rPr>
      <w:t>РІШЕННЯ</w:t>
    </w:r>
  </w:p>
  <w:p>
    <w:pPr>
      <w:pStyle w:val="BodyText2"/>
      <w:ind w:left="0" w:right="0" w:hanging="0"/>
      <w:jc w:val="both"/>
      <w:rPr/>
    </w:pP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23. 07. 2021</w:t>
      <w:tab/>
      <w:tab/>
      <w:tab/>
    </w:r>
    <w:r>
      <w:rPr>
        <w:sz w:val="28"/>
        <w:szCs w:val="28"/>
      </w:rPr>
      <w:t xml:space="preserve">                    </w:t>
    </w:r>
    <w:r>
      <w:rPr>
        <w:sz w:val="28"/>
        <w:szCs w:val="28"/>
        <w:lang w:val="uk-UA"/>
      </w:rPr>
      <w:t>м.Покров</w:t>
    </w:r>
    <w:r>
      <w:rPr>
        <w:sz w:val="28"/>
        <w:szCs w:val="28"/>
      </w:rPr>
      <w:t xml:space="preserve">                                  </w:t>
      <w:tab/>
      <w:tab/>
      <w:t xml:space="preserve">      № </w:t>
    </w:r>
    <w:r>
      <w:rPr>
        <w:rFonts w:eastAsia="Andale Sans UI;Arial Unicode MS" w:cs="Tahoma"/>
        <w:color w:val="auto"/>
        <w:kern w:val="2"/>
        <w:sz w:val="28"/>
        <w:szCs w:val="28"/>
        <w:lang w:val="zxx" w:eastAsia="zxx" w:bidi="zxx"/>
      </w:rPr>
      <w:t>4</w:t>
    </w:r>
  </w:p>
  <w:p>
    <w:pPr>
      <w:pStyle w:val="BodyText2"/>
      <w:ind w:left="0" w:right="0" w:hanging="0"/>
      <w:jc w:val="both"/>
      <w:rPr>
        <w:rFonts w:ascii="Times New Roman" w:hAnsi="Times New Roman" w:eastAsia="Andale Sans UI;Arial Unicode MS" w:cs="Tahoma"/>
        <w:color w:val="auto"/>
        <w:kern w:val="2"/>
        <w:lang w:val="zxx" w:eastAsia="zxx" w:bidi="zxx"/>
      </w:rPr>
    </w:pPr>
    <w:r>
      <w:rPr>
        <w:rFonts w:eastAsia="Andale Sans UI;Arial Unicode MS" w:cs="Tahoma"/>
        <w:color w:val="auto"/>
        <w:kern w:val="2"/>
        <w:lang w:val="zxx" w:eastAsia="zxx" w:bidi="zxx"/>
      </w:rPr>
    </w:r>
  </w:p>
  <w:p>
    <w:pPr>
      <w:pStyle w:val="BodyText2"/>
      <w:ind w:left="0" w:right="0" w:hanging="0"/>
      <w:jc w:val="both"/>
      <w:rPr/>
    </w:pPr>
    <w:r>
      <w:rPr>
        <w:sz w:val="28"/>
        <w:szCs w:val="28"/>
      </w:rPr>
      <w:t xml:space="preserve">                                                 </w:t>
    </w:r>
    <w:r>
      <w:rPr>
        <w:sz w:val="28"/>
        <w:szCs w:val="28"/>
        <w:shd w:fill="auto" w:val="clear"/>
      </w:rPr>
      <w:t xml:space="preserve">   </w:t>
    </w:r>
    <w:r>
      <w:rPr>
        <w:sz w:val="28"/>
        <w:szCs w:val="28"/>
        <w:shd w:fill="auto" w:val="clear"/>
      </w:rPr>
      <w:t xml:space="preserve">(10 </w:t>
    </w:r>
    <w:r>
      <w:rPr>
        <w:sz w:val="28"/>
        <w:szCs w:val="28"/>
        <w:shd w:fill="auto" w:val="clear"/>
        <w:lang w:val="uk-UA"/>
      </w:rPr>
      <w:t>сесія 8 скликання)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6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zxx" w:eastAsia="zxx" w:bidi="zxx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character" w:styleId="Style13">
    <w:name w:val="Интернет-ссылка"/>
    <w:qFormat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Tahoma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Верхній і нижній колонтитули"/>
    <w:basedOn w:val="Normal"/>
    <w:qFormat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5">
    <w:name w:val="Вміст таблиці"/>
    <w:basedOn w:val="Normal"/>
    <w:qFormat/>
    <w:pPr>
      <w:widowControl w:val="false"/>
      <w:suppressLineNumbers/>
    </w:pPr>
    <w:rPr/>
  </w:style>
  <w:style w:type="paragraph" w:styleId="Style26">
    <w:name w:val="Заголовок таблиці"/>
    <w:basedOn w:val="Style2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489</TotalTime>
  <Application>LibreOffice/7.0.3.1$Windows_X86_64 LibreOffice_project/d7547858d014d4cf69878db179d326fc3483e082</Application>
  <Pages>3</Pages>
  <Words>511</Words>
  <Characters>3282</Characters>
  <CharactersWithSpaces>4000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2021-04-19T09:22:47Z</dcterms:created>
  <dc:creator/>
  <dc:description/>
  <dc:language>uk-UA</dc:language>
  <cp:lastModifiedBy/>
  <cp:lastPrinted>2021-07-14T17:54:58Z</cp:lastPrinted>
  <dcterms:modified xsi:type="dcterms:W3CDTF">2021-07-21T09:16:07Z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