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uppressAutoHyphens w:val="true"/>
        <w:spacing w:lineRule="auto" w:line="240" w:before="0" w:after="0"/>
        <w:textAlignment w:val="auto"/>
        <w:outlineLvl w:val="9"/>
        <w:rPr>
          <w:rFonts w:ascii="Times New Roman" w:hAnsi="Times New Roman" w:eastAsia="Times New Roman" w:cs="Times New Roman"/>
          <w:sz w:val="24"/>
          <w:szCs w:val="20"/>
        </w:rPr>
      </w:pPr>
      <w:r>
        <w:rPr>
          <w:rFonts w:eastAsia="Times New Roman" w:cs="Times New Roman" w:ascii="Times New Roman" w:hAnsi="Times New Roman"/>
          <w:b/>
          <w:bCs/>
          <w:sz w:val="28"/>
          <w:szCs w:val="28"/>
        </w:rPr>
        <w:t xml:space="preserve">25.06.2024 </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sz w:val="20"/>
          <w:szCs w:val="20"/>
        </w:rPr>
        <w:t xml:space="preserve">м.Покров  </w:t>
      </w:r>
      <w:r>
        <w:rPr>
          <w:rFonts w:eastAsia="Times New Roman" w:cs="Times New Roman" w:ascii="Times New Roman" w:hAnsi="Times New Roman"/>
          <w:bCs/>
          <w:sz w:val="28"/>
          <w:szCs w:val="28"/>
        </w:rPr>
        <w:t xml:space="preserve">                    </w:t>
      </w:r>
      <w:r>
        <w:rPr>
          <w:rFonts w:eastAsia="Times New Roman" w:cs="Times New Roman" w:ascii="Times New Roman" w:hAnsi="Times New Roman"/>
          <w:sz w:val="28"/>
          <w:szCs w:val="28"/>
        </w:rPr>
        <w:t xml:space="preserve"> </w:t>
      </w:r>
      <w:r>
        <w:rPr>
          <w:rFonts w:eastAsia="Times New Roman" w:cs="Times New Roman" w:ascii="Times New Roman" w:hAnsi="Times New Roman"/>
          <w:b/>
          <w:bCs/>
          <w:sz w:val="28"/>
          <w:szCs w:val="28"/>
        </w:rPr>
        <w:t xml:space="preserve"> № 485/06-53-24</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widowControl w:val="false"/>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left="0" w:right="0" w:hanging="0"/>
        <w:jc w:val="both"/>
        <w:rPr>
          <w:sz w:val="24"/>
          <w:szCs w:val="24"/>
        </w:rPr>
      </w:pPr>
      <w:r>
        <w:rPr>
          <w:rFonts w:eastAsia="Times New Roman" w:cs="Times New Roman" w:ascii="Times New Roman" w:hAnsi="Times New Roman"/>
          <w:color w:val="000000"/>
          <w:sz w:val="24"/>
          <w:szCs w:val="24"/>
        </w:rPr>
        <w:t>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pPr>
        <w:pStyle w:val="LOnormal"/>
        <w:ind w:left="0" w:right="0" w:hanging="0"/>
        <w:rPr>
          <w:rFonts w:eastAsia="Calibri" w:cs="Calibri"/>
          <w:color w:val="000000"/>
          <w:sz w:val="24"/>
          <w:szCs w:val="24"/>
        </w:rPr>
      </w:pPr>
      <w:r>
        <w:rPr>
          <w:rFonts w:eastAsia="Calibri" w:cs="Calibri"/>
          <w:color w:val="000000"/>
          <w:sz w:val="24"/>
          <w:szCs w:val="24"/>
        </w:rPr>
      </w:r>
    </w:p>
    <w:p>
      <w:pPr>
        <w:pStyle w:val="LOnormal"/>
        <w:ind w:left="0" w:right="0" w:hanging="0"/>
        <w:rPr>
          <w:rFonts w:eastAsia="Calibri" w:cs="Calibri"/>
          <w:color w:val="000000"/>
          <w:sz w:val="24"/>
          <w:szCs w:val="24"/>
        </w:rPr>
      </w:pPr>
      <w:r>
        <w:rPr>
          <w:rFonts w:eastAsia="Calibri" w:cs="Calibri"/>
          <w:color w:val="000000"/>
          <w:sz w:val="24"/>
          <w:szCs w:val="24"/>
        </w:rPr>
      </w:r>
    </w:p>
    <w:p>
      <w:pPr>
        <w:pStyle w:val="LOnormal"/>
        <w:ind w:left="0" w:right="0" w:hanging="0"/>
        <w:jc w:val="both"/>
        <w:rPr>
          <w:sz w:val="24"/>
          <w:szCs w:val="24"/>
        </w:rPr>
      </w:pPr>
      <w:r>
        <w:rPr>
          <w:rFonts w:eastAsia="Times New Roman" w:cs="Times New Roman" w:ascii="Times New Roman" w:hAnsi="Times New Roman"/>
          <w:color w:val="000000"/>
          <w:sz w:val="24"/>
          <w:szCs w:val="24"/>
        </w:rPr>
        <w:t xml:space="preserve">         </w:t>
      </w:r>
    </w:p>
    <w:p>
      <w:pPr>
        <w:pStyle w:val="LOnormal"/>
        <w:ind w:left="0" w:right="0" w:hanging="0"/>
        <w:jc w:val="both"/>
        <w:rPr>
          <w:sz w:val="24"/>
          <w:szCs w:val="24"/>
        </w:rPr>
      </w:pPr>
      <w:r>
        <w:rPr>
          <w:rFonts w:eastAsia="Times New Roman" w:cs="Times New Roman" w:ascii="Times New Roman" w:hAnsi="Times New Roman"/>
          <w:color w:val="000000"/>
          <w:sz w:val="24"/>
          <w:szCs w:val="24"/>
        </w:rPr>
        <w:tab/>
        <w:t>Керуючись законами України «Про місцеве самоврядування в Україні», «Про адміністративні послуги», «Про адміністративну процедуру», наказами Міністерства соціальної політики України від 19.04.2024 № 196-Н «Про внесення змін до наказу Міністерства соціальної політики України від 30.10.2023 № 413-Н» та Міністерства у справах ветеранів України від 15.05.2024 № 152 «Про внесення змін до наказу Міністерства у справах ветеранів України від 20 червня 2023 року №145», на виконання пункту 2 рішення 54 сесії міської ради 8 скликання від 24.05.2024 №6-54-08 «Про затвердження Переліку адміністративних послуг, які надаються через Центр надання адміністративних послуг виконавчого комітету Покровської міської ради у новій редакції», з метою приведення у відповідність до змін у законодавстві інформаційних та технологічних карток адміністративних послуг соціального спрямування, які надаються через Центр надання адміністративних послуг, виконавчий комітет Покровської міської ради</w:t>
      </w:r>
    </w:p>
    <w:p>
      <w:pPr>
        <w:pStyle w:val="LOnormal"/>
        <w:tabs>
          <w:tab w:val="clear" w:pos="720"/>
          <w:tab w:val="left" w:pos="0" w:leader="none"/>
          <w:tab w:val="left" w:pos="567" w:leader="none"/>
        </w:tabs>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clear" w:pos="720"/>
          <w:tab w:val="left" w:pos="0" w:leader="none"/>
          <w:tab w:val="left" w:pos="567" w:leader="none"/>
        </w:tabs>
        <w:ind w:left="0" w:right="0" w:hanging="0"/>
        <w:jc w:val="both"/>
        <w:rPr>
          <w:sz w:val="24"/>
          <w:szCs w:val="24"/>
        </w:rPr>
      </w:pPr>
      <w:r>
        <w:rPr>
          <w:rFonts w:eastAsia="Times New Roman" w:cs="Times New Roman" w:ascii="Times New Roman" w:hAnsi="Times New Roman"/>
          <w:b/>
          <w:color w:val="000000"/>
          <w:sz w:val="24"/>
          <w:szCs w:val="24"/>
        </w:rPr>
        <w:t>ВИРІШИВ:</w:t>
      </w:r>
    </w:p>
    <w:p>
      <w:pPr>
        <w:pStyle w:val="LOnormal"/>
        <w:tabs>
          <w:tab w:val="clear" w:pos="720"/>
          <w:tab w:val="left" w:pos="0" w:leader="none"/>
          <w:tab w:val="left" w:pos="567" w:leader="none"/>
        </w:tabs>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left="0" w:right="0" w:hanging="0"/>
        <w:jc w:val="both"/>
        <w:rPr>
          <w:sz w:val="24"/>
          <w:szCs w:val="24"/>
        </w:rPr>
      </w:pPr>
      <w:r>
        <w:rPr>
          <w:rFonts w:eastAsia="Times New Roman" w:cs="Times New Roman" w:ascii="Times New Roman" w:hAnsi="Times New Roman"/>
          <w:b/>
          <w:color w:val="000000"/>
          <w:sz w:val="24"/>
          <w:szCs w:val="24"/>
        </w:rPr>
        <w:tab/>
      </w:r>
      <w:r>
        <w:rPr>
          <w:rFonts w:eastAsia="Times New Roman" w:cs="Times New Roman" w:ascii="Times New Roman" w:hAnsi="Times New Roman"/>
          <w:color w:val="000000"/>
          <w:sz w:val="24"/>
          <w:szCs w:val="24"/>
        </w:rPr>
        <w:t>1. Затвердити інформаційні та технологічні картки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виконавчого комітету Покровської міської ради у новій редакції:</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 «Призначення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 «Призначення державної допомоги при народженні дитини»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 «Призначення одноразової натуральної допомоги «пакунок малюка»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 «Видача грошової компенсації вартості одноразової натуральної допомоги «пакунок малюка»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1.5. «Призначення державної допомоги при усиновленні дитини»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 «Призначення державної допомоги на дітей, над якими встановлено опіку чи піклування»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 «Призначення державної допомоги на дітей одиноким матерям»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 «Призначення державної допомоги одному з батьків, усиновлювачам, опікунам, піклувальникам, одному з прийомних батьків, батькам-вихователям, які доглядають за хворою дитиною, якій не встановлено інвалідність»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1.9. «Призначення  державної соціальної допомоги малозабезпеченим сім’ям»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1.10. «Призначення державної допомоги на дітей, які виховуються у багатодітних сім’ях»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1.11. «Призначення державної соціальної допомоги особам з інвалідністю з дитинства та дітям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1.12. «Призначення надбавки на догляд за особами з інвалідністю з дитинства та дітьми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1.13. «Призначення державної соціальної допомоги особам, які не мають права на пенсію, та особам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1.14. «Призначення державної соціальної допомоги на догляд»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1.15. «Призначення компенсації за догляд фізичній особі, яка надає соціальні послуги з догляду без здійснення підприємницької діяльності на непрофесійній основі»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1.16. «Призначення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1.17. «Продовження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1.18. «Призначення грошової допомоги особі, яка проживає разом з особою з інвалідністю І або ІІ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1.19. «Призначення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1.20. «Призначення  одноразової винагороди жінкам, яким присвоєно почесне звання України «Мати-героїня»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1.21. «Оплата послуг патронатного вихователя та виплата соціальної допомоги на утримання дитини в сім'ї патронатного вихователя»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1.22. «Призначення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1.23. «Призначення та виплата компенсації послуги з догляду за дитиною до трьох років «муніципальна няня»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1.24. «Виплата одноразової матеріальної допомоги особам, які постраждали від торгівлі людьми»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1.25. «Прийняття рішення щодо надання соціальних послуг»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1.26. «Видача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1.27. «Видача дозволу опікуну на вчинення правочинів щодо відмови від майнових прав підопічного»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1.28. «Видача дозволу опікуну на вчинення правочинів щодо видання письмових зобов’язань від імені підопічного»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1.29. «Видача дозволу опікуну на вчинення правочинів щодо укладення договорів, які підлягають нотаріальному посвідченню та (або) державній реєстрації, в тому числі договорів щодо поділу або обміну житлового будинку, квартири»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1.30. «Видача дозволу опікуну на вчинення правочинів щодо укладення договорів щодо іншого цінного майна»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1.31. «Видача дозволу опікуну на вчинення правочинів щодо управління нерухомим майном або майном, яке потребує постійного управління, власником якого є підопічна недієздатна особа»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1.32. «Видача дозволу опікуну на вчинення правочинів щодо передання нерухомого майна або майна, яке потребує постійного управління, власником якого є підопічна недієздатна особа, в управління іншій особі за договором»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1.33. «Видача піклувальнику дозволу на надання згоди особі, дієздатність якої обмежена, на вчинення правочинів щодо відмови від майнових прав підопічного»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1.34. «Видача піклувальнику дозволу на надання згоди особі, дієздатність якої обмежена, на вчинення правочинів щодо видання письмових зобов’язань від імені підопічного»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1.35. «Видача піклувальнику дозволу на надання згоди особі, дієздатність якої обмежена, на вчинення правочинів щодо укладення договорів, які підлягають нотаріальному посвідченню та (або) державній реєстрації, в тому числі щодо поділу або обміну житлового будинку, квартири»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1.36. «Видача піклувальнику дозволу на надання згоди особі, дієздатність якої обмежена, на вчинення правочинів щодо укладення договорів щодо іншого цінного майна»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1.37. «Установлення статусу, видача посвідчень батькам багатодітної сім’ї та дитині з багатодітної сім’ї»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1.38. «Вклейка фотокартки в посвідчення дитини з багатодітної сім’ї у зв’язку з досягненням 14-річного віку»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1.39. «Видача дубліката посвідчення батьків багатодітної сім’ї та дитини з багатодітної сім’ї»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1.40. «Продовження строку дії посвідчень батьків багатодітної сім’ї та дитини з багатодітної сім’ї»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1.41. «Видача довідки про взяття на облік внутрішньо переміщеної особи»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1.42. «Надання допомоги на проживання внутрішньо переміщеним особам»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1.43. «Установлення статусу, видача посвідчень особам, які постраждали внаслідок Чорнобильської катастрофи (відповідно до визначених категорій)»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1.44. «Призначення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1.45. «Призначення одноразової компенсації дружинам (чоловікам), якщо та (той) не одружилися вдруге, померлих громадян, смерть яких пов’язана з Чорнобильською катастрофою, участю у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1.46. «Призначення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1.47. «Призначення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3;потерпілим від Чорнобильської катастрофи, віднесеним до категорії 1, або 2, або 3; потерпілим від радіаційного опромінення, віднесеним до категорії 1 або 2»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1.48. «Призначення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їхнім батькам»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1.49. «Взяття на облік для забезпечення санаторно-курортним лікуванням (путівками) громадян, які постраждали внаслідок Чорнобильської катастрофи»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1.50. «Призначення грошової компенсації замість санаторно-курортної путівки громадянам, які постраждали внаслідок Чорнобильської катастрофи»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1.51. «Забезпечення санаторно-курортним лікуванням (путівками) громадян, які постраждали внаслідок Чорнобильської катастрофи, шляхом надання щорічної грошової допомоги для компенсації вартості путівок через безготівкове перерахування санаторно-курортним закладам»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1.52. «Компенсація вартості продуктів харчування громадянам, які постраждали внаслідок Чорнобильської катастрофи»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1.53. «Видача посвідчень особам з інвалідністю та особам з інвалідністю з дитинства»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1.54. «Видача довідки для отримання пільг особам з інвалідністю, які не мають права на пенсію чи соціальну допомогу»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1.55. «Взяття на облік для забезпечення санаторно-курортним лікуванням (путівками) осіб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1.56. «Призначення грошової компенсації особам з інвалідністю замість санаторно-курортної путівки»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1.57. «Призначення грошової компенсації вартості проїзду до санаторно-курортного закладу (відділення спинального профілю) і назад особам, які супроводжують осіб з інвалідністю I та II групи з наслідками травм і захворюваннями хребта та спинного мозку»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1.58. «Призначення грошової компенсації вартості самостійного санаторно-курортного лікування осіб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1.59. «Призначення грошової компенсації особам з інвалідністю на бензин, ремонт і технічне обслуговування автомобілів та на транспортне обслуговування»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1.60. «Видача направлення на забезпечення технічними та іншими засобами реабілітації осіб з інвалідністю та дітей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1.61. «Забезпечення направлення на комплексну реабілітацію (абілітацію) осіб з інвалідністю, дітей з інвалідністю, дітей віком до трьох років (включно), які належать до групи ризику щодо отримання інвалідності, осіб, визначених в абзацах шостому і сьомому статті 4 Закону України ,,Про реабілітацію осіб з інвалідністю в Україні”, до державного реабілітаційного закладу, що належить до сфери управління Мінсоцполітики»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1.62. «Видача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1.63. «Забезпечення направлення дітей з інвалідністю до реабілітаційної установи для надання реабілітаційних послуг за програмою «Реабілітація дітей з інвалідністю»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1.64. «Встановлення статусу учасника війни»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1.65. «Встановлення статусу особи з інвалідністю внаслідок війни, видача посвідчення/довідки, продовження строку дії посвідчення (вклеювання бланка-вкладки)»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1.66. «Установлення статусу, видача посвідчень ветеранам праці»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1.67. «Установлення статусу, видача посвідчень жертвам нацистських переслідувань»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1.68. «Взяття на облік для виплати компенсації вартості самостійного санаторно-курортного лікування осіб, стосовно яких встановлено факт позбавлення особистої свободи внаслідок збройної агресії проти України»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1.69.  «Взяття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України»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1.70. «Призначення щомісячної грошової компенсації на дітей, які навчаються в закладах загальної середньої, професійної (професійно-технічної) освіти, закладах фахової передвищої освіти, розташованих на територіях радіоактивного забруднення, а також дітей з інвалідністю, пов’язаною з наслідками Чорнобильської катастрофи, і які не харчуються в їдальнях зазначених закладів освіти, а також за всі дні, коли перелічені особи не відвідували ці заклади, до досягнення ними повноліття»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1.71. «Встановлення статусу постраждалого учасника Революції Гідності, видача посвідчення»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1.72. «Позбавлення статусу постраждалого учасника Революції Гідності за заявою особи»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 xml:space="preserve">1.73. «Видача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  (додається).  </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1.74. «Позбавлення статусу особи з інвалідністю внаслідок війни, члена сім’ї загиблого (померлого) Захисника чи Захисниці України за заявою такої особи»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1.75. «Вклеювання бланка-вкладки до посвідчення , особи з інвалідністю внаслідок війни ІІ і ІІІ групи з числа учасників бойових дій у період другої світової війни, яким виповнилося 85 років і більше»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 xml:space="preserve">1.76. «Встановлення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 (додається). </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1.77.Взяття на облік для забезпечення санаторно-курортним лікуванням (путівками) ветеранів війни та осіб, на яких поширюється дія Законів України «Про статус ветеранів війни, гарантії їх соціального захисту» та «Про жертви нацистських переслідувань»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1.78. «Призначення грошової компенсації замість санаторно-курортної путівки особам з інвалідністю внаслідок війни та прирівняним до них особам»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1.79. «Призначення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1.80. «Забезпечення санаторно-курортними путівками постраждалих учасників Революції Гідності, ветеранів війни з числа учасників антитерористичної операції/операції Об’єднаних сил, членів сімей загиблих (померлих) таких осіб»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1.81. «Видача направлення для отримання послуг з соціальної та професійної адаптації»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1.82. «Призначення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1.83. «Надання одноразової компенсації особам з інвалідністю та дітям з інвалідністю, постраждалим внаслідок дії вибухонебезпечних  предметів»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 xml:space="preserve">1.84. «Надання щорічної допомоги на оздоровлення особам з інвалідністю та дітям з інвалідністю, постраждалим внаслідок дії вибухонебезпечних предметів» (додається). </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1.85. «Призначення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1.86. «Призначення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1.87. «Повідомна реєстрація галузевих (міжгалузевих) і територіальних угод, колективних договорів» (додається).</w:t>
      </w:r>
    </w:p>
    <w:p>
      <w:pPr>
        <w:pStyle w:val="LOnormal"/>
        <w:ind w:left="0" w:right="0" w:hanging="0"/>
        <w:jc w:val="both"/>
        <w:rPr>
          <w:sz w:val="24"/>
          <w:szCs w:val="24"/>
        </w:rPr>
      </w:pPr>
      <w:r>
        <w:rPr>
          <w:rFonts w:eastAsia="Times New Roman" w:cs="Times New Roman" w:ascii="Times New Roman" w:hAnsi="Times New Roman"/>
          <w:color w:val="000000"/>
          <w:sz w:val="24"/>
          <w:szCs w:val="24"/>
        </w:rPr>
        <w:tab/>
        <w:t>1.88. «Призначення тимчасової допомоги на дітей, щодо яких встановлено факт відсутності батьківського піклування та які тимчасово влаштовані в сім’ю родичів, знайомих, прийомну сім’ю або дитячий будинок сімейного типу, «Дитина не одна»» (додається)»</w:t>
      </w:r>
    </w:p>
    <w:p>
      <w:pPr>
        <w:pStyle w:val="LOnormal"/>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left="0" w:right="0" w:hanging="0"/>
        <w:jc w:val="both"/>
        <w:rPr>
          <w:sz w:val="24"/>
          <w:szCs w:val="24"/>
        </w:rPr>
      </w:pPr>
      <w:r>
        <w:rPr>
          <w:rFonts w:eastAsia="Times New Roman" w:cs="Times New Roman" w:ascii="Times New Roman" w:hAnsi="Times New Roman"/>
          <w:color w:val="000000"/>
          <w:sz w:val="24"/>
          <w:szCs w:val="24"/>
        </w:rPr>
        <w:tab/>
        <w:t>2.  Рішення виконавчого комітету Покровської міської ради від 24.04.2024 №348/06-53-24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 вважати таким, що втратило чинність.</w:t>
      </w:r>
    </w:p>
    <w:p>
      <w:pPr>
        <w:pStyle w:val="LOnormal"/>
        <w:ind w:left="0" w:right="0" w:hanging="0"/>
        <w:jc w:val="both"/>
        <w:rPr>
          <w:sz w:val="24"/>
          <w:szCs w:val="24"/>
        </w:rPr>
      </w:pPr>
      <w:r>
        <w:rPr>
          <w:rFonts w:eastAsia="Times New Roman" w:cs="Times New Roman" w:ascii="Times New Roman" w:hAnsi="Times New Roman"/>
          <w:color w:val="000000"/>
          <w:sz w:val="24"/>
          <w:szCs w:val="24"/>
        </w:rPr>
        <w:tab/>
      </w:r>
    </w:p>
    <w:p>
      <w:pPr>
        <w:pStyle w:val="LOnormal"/>
        <w:ind w:left="0" w:right="0" w:hanging="0"/>
        <w:jc w:val="both"/>
        <w:rPr>
          <w:sz w:val="24"/>
          <w:szCs w:val="24"/>
        </w:rPr>
      </w:pPr>
      <w:r>
        <w:rPr>
          <w:rFonts w:eastAsia="Times New Roman" w:cs="Times New Roman" w:ascii="Times New Roman" w:hAnsi="Times New Roman"/>
          <w:color w:val="000000"/>
          <w:sz w:val="24"/>
          <w:szCs w:val="24"/>
        </w:rPr>
        <w:tab/>
        <w:t>3.    Управлінню праці та соціального захисту населення (ІГНАТЮК Тетяні):</w:t>
      </w:r>
    </w:p>
    <w:p>
      <w:pPr>
        <w:pStyle w:val="LOnormal"/>
        <w:ind w:left="0" w:right="0" w:hanging="0"/>
        <w:jc w:val="both"/>
        <w:rPr>
          <w:sz w:val="24"/>
          <w:szCs w:val="24"/>
        </w:rPr>
      </w:pPr>
      <w:r>
        <w:rPr>
          <w:rFonts w:eastAsia="Times New Roman" w:cs="Times New Roman" w:ascii="Times New Roman" w:hAnsi="Times New Roman"/>
          <w:color w:val="000000"/>
          <w:sz w:val="24"/>
          <w:szCs w:val="24"/>
        </w:rPr>
        <w:tab/>
        <w:t>3.1. 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pPr>
        <w:pStyle w:val="LOnormal"/>
        <w:ind w:left="0" w:right="0" w:hanging="0"/>
        <w:jc w:val="both"/>
        <w:rPr>
          <w:sz w:val="24"/>
          <w:szCs w:val="24"/>
        </w:rPr>
      </w:pPr>
      <w:r>
        <w:rPr>
          <w:rFonts w:eastAsia="Times New Roman" w:cs="Times New Roman" w:ascii="Times New Roman" w:hAnsi="Times New Roman"/>
          <w:color w:val="000000"/>
          <w:sz w:val="24"/>
          <w:szCs w:val="24"/>
        </w:rPr>
        <w:tab/>
        <w:t>3.2. У разі зміни нормативно-правової бази у сфері соціального захисту населення, забезпечити своєчасне коригування інформаційних та технологічних карток адміністративних послуг.</w:t>
        <w:tab/>
      </w:r>
    </w:p>
    <w:p>
      <w:pPr>
        <w:pStyle w:val="LOnormal"/>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tabs>
          <w:tab w:val="left" w:pos="720" w:leader="none"/>
          <w:tab w:val="left" w:pos="7020" w:leader="none"/>
        </w:tabs>
        <w:ind w:left="0" w:right="0" w:hanging="0"/>
        <w:jc w:val="both"/>
        <w:rPr>
          <w:sz w:val="24"/>
          <w:szCs w:val="24"/>
        </w:rPr>
      </w:pPr>
      <w:r>
        <w:rPr>
          <w:rFonts w:eastAsia="Times New Roman" w:cs="Times New Roman" w:ascii="Times New Roman" w:hAnsi="Times New Roman"/>
          <w:color w:val="000000"/>
          <w:sz w:val="24"/>
          <w:szCs w:val="24"/>
        </w:rPr>
        <w:tab/>
        <w:t>4. 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заступника міського голови Ганну ВІДЯЄВУ.</w:t>
      </w:r>
    </w:p>
    <w:p>
      <w:pPr>
        <w:pStyle w:val="LOnormal"/>
        <w:tabs>
          <w:tab w:val="left" w:pos="720" w:leader="none"/>
          <w:tab w:val="left" w:pos="7020" w:leader="none"/>
        </w:tabs>
        <w:ind w:left="0" w:right="0" w:hanging="0"/>
        <w:jc w:val="both"/>
        <w:rPr>
          <w:sz w:val="24"/>
          <w:szCs w:val="24"/>
        </w:rPr>
      </w:pPr>
      <w:r>
        <w:rPr>
          <w:sz w:val="24"/>
          <w:szCs w:val="24"/>
        </w:rPr>
      </w:r>
    </w:p>
    <w:p>
      <w:pPr>
        <w:pStyle w:val="LOnormal"/>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bookmarkStart w:id="0" w:name="_GoBack"/>
      <w:bookmarkStart w:id="1" w:name="_GoBack"/>
      <w:bookmarkEnd w:id="1"/>
    </w:p>
    <w:p>
      <w:pPr>
        <w:pStyle w:val="LOnormal"/>
        <w:ind w:left="0" w:right="0" w:hanging="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LOnormal"/>
        <w:ind w:left="0" w:right="0" w:hanging="0"/>
        <w:jc w:val="both"/>
        <w:rPr>
          <w:sz w:val="24"/>
          <w:szCs w:val="24"/>
        </w:rPr>
      </w:pPr>
      <w:r>
        <w:rPr>
          <w:rFonts w:eastAsia="Times New Roman" w:cs="Times New Roman" w:ascii="Times New Roman" w:hAnsi="Times New Roman"/>
          <w:color w:val="000000"/>
          <w:sz w:val="24"/>
          <w:szCs w:val="24"/>
        </w:rPr>
        <w:t>Міський голова</w:t>
        <w:tab/>
        <w:tab/>
        <w:tab/>
        <w:tab/>
        <w:tab/>
        <w:t xml:space="preserve">                  Олександр ШАПОВАЛ</w:t>
      </w:r>
    </w:p>
    <w:p>
      <w:pPr>
        <w:pStyle w:val="LOnormal"/>
        <w:ind w:left="0" w:right="0" w:hanging="0"/>
        <w:jc w:val="both"/>
        <w:rPr>
          <w:sz w:val="24"/>
          <w:szCs w:val="24"/>
        </w:rPr>
      </w:pPr>
      <w:r>
        <w:rPr>
          <w:rFonts w:eastAsia="Times New Roman" w:cs="Times New Roman" w:ascii="Times New Roman" w:hAnsi="Times New Roman"/>
          <w:color w:val="000000"/>
          <w:sz w:val="24"/>
          <w:szCs w:val="24"/>
        </w:rPr>
        <w:tab/>
        <w:tab/>
        <w:tab/>
        <w:tab/>
        <w:tab/>
        <w:tab/>
        <w:tab/>
        <w:tab/>
      </w:r>
    </w:p>
    <w:sectPr>
      <w:type w:val="nextPage"/>
      <w:pgSz w:w="11906" w:h="16838"/>
      <w:pgMar w:left="1701" w:right="567" w:gutter="0" w:header="0" w:top="1134" w:footer="0" w:bottom="1134"/>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textAlignment w:val="top"/>
      <w:outlineLvl w:val="0"/>
    </w:pPr>
    <w:rPr>
      <w:rFonts w:ascii="Calibri" w:hAnsi="Calibri" w:eastAsia="NSimSun" w:cs="Calibri"/>
      <w:color w:val="auto"/>
      <w:kern w:val="0"/>
      <w:sz w:val="22"/>
      <w:szCs w:val="22"/>
      <w:lang w:val="uk-UA" w:eastAsia="zh-CN" w:bidi="ar-SA"/>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Style20">
    <w:name w:val="Title"/>
    <w:basedOn w:val="LOnormal"/>
    <w:next w:val="Style16"/>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suppressAutoHyphens w:val="true"/>
      <w:bidi w:val="0"/>
      <w:spacing w:lineRule="atLeast" w:line="1" w:before="0" w:after="0"/>
      <w:jc w:val="left"/>
      <w:textAlignment w:val="top"/>
      <w:outlineLvl w:val="0"/>
    </w:pPr>
    <w:rPr>
      <w:rFonts w:ascii="Calibri" w:hAnsi="Calibri" w:eastAsia="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271</TotalTime>
  <Application>LibreOffice/7.4.3.2$Windows_X86_64 LibreOffice_project/1048a8393ae2eeec98dff31b5c133c5f1d08b890</Application>
  <AppVersion>15.0000</AppVersion>
  <Pages>6</Pages>
  <Words>2273</Words>
  <Characters>16850</Characters>
  <CharactersWithSpaces>19243</CharactersWithSpaces>
  <Paragraphs>105</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2024-03-29T08:13:00Z</dcterms:created>
  <dc:creator>Work</dc:creator>
  <dc:description/>
  <dc:language>uk-UA</dc:language>
  <cp:lastModifiedBy/>
  <cp:lastPrinted>2023-12-04T12:35:00Z</cp:lastPrinted>
  <dcterms:modified xsi:type="dcterms:W3CDTF">2024-06-28T11:20:20Z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