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5245735</wp:posOffset>
                </wp:positionH>
                <wp:positionV relativeFrom="paragraph">
                  <wp:posOffset>-146685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13.05pt;margin-top:-11.55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955" cy="10795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5pt,2.3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24.09.2021 р.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431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анулювання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розміщення тимчасової споруди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 районі будинку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вул. ХХХХ,</w:t>
      </w:r>
    </w:p>
    <w:p>
      <w:pPr>
        <w:pStyle w:val="NoSpacing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lang w:val="uk-UA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ХХХХ.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дозвільних документів на розміщення тимчасової споруди-металевого гаража, а саме: Паспорта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та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користування місцем розміщення тимчасової споруди в районі будинку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вул.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керуючись ст. 30 Закону України «Про місцеве самоврядування в Україні»,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Закон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ом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 xml:space="preserve"> України 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«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</w:rPr>
          <w:t>Про благоустрій населених пунктів</w:t>
        </w:r>
        <w:r>
          <w:rPr>
            <w:rFonts w:cs="Times New Roman" w:ascii="Times New Roman" w:hAnsi="Times New Roman"/>
            <w:color w:val="auto"/>
            <w:sz w:val="28"/>
            <w:szCs w:val="28"/>
            <w:u w:val="none"/>
            <w:lang w:val="uk-UA"/>
          </w:rPr>
          <w:t>»,</w:t>
        </w:r>
      </w:hyperlink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16 від 24.08.2015.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Відділу землекористування (Ігнатенко Ю.А.)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92 від 15.09.2015.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>С.С. К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 w:eastAsia="ar-SA"/>
        </w:rPr>
        <w:t>урасов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6">
    <w:name w:val="Интернет-ссылка"/>
    <w:basedOn w:val="DefaultParagraphFont"/>
    <w:uiPriority w:val="99"/>
    <w:unhideWhenUsed/>
    <w:rsid w:val="00540270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kodeksy.com.ua/pro_blagoustrij_naselenih_punktiv.ht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LibreOffice/7.1.5.2$Linux_X86_64 LibreOffice_project/10$Build-2</Application>
  <AppVersion>15.0000</AppVersion>
  <Pages>1</Pages>
  <Words>125</Words>
  <Characters>820</Characters>
  <CharactersWithSpaces>1015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ru-RU</dc:language>
  <cp:lastModifiedBy/>
  <cp:lastPrinted>2019-12-18T12:52:00Z</cp:lastPrinted>
  <dcterms:modified xsi:type="dcterms:W3CDTF">2021-09-30T11:39:56Z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