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widowControl w:val="false"/>
        <w:tabs>
          <w:tab w:val="clear" w:pos="706"/>
          <w:tab w:val="right" w:pos="3686" w:leader="none"/>
          <w:tab w:val="left" w:pos="5103" w:leader="none"/>
        </w:tabs>
        <w:suppressAutoHyphens w:val="true"/>
        <w:bidi w:val="0"/>
        <w:spacing w:before="0" w:after="0"/>
        <w:ind w:left="0" w:right="4649" w:hanging="0"/>
        <w:jc w:val="both"/>
        <w:rPr>
          <w:iCs/>
          <w:sz w:val="28"/>
          <w:szCs w:val="28"/>
        </w:rPr>
      </w:pPr>
      <w:r>
        <w:rPr>
          <w:iCs/>
          <w:sz w:val="28"/>
          <w:szCs w:val="28"/>
        </w:rPr>
        <w:t>Про схвалення прогнозу  бюджету Покровської  міської територіальної громади на 2022- 2024 роки</w:t>
      </w:r>
      <w:bookmarkStart w:id="0" w:name="_GoBack"/>
      <w:bookmarkEnd w:id="0"/>
    </w:p>
    <w:p>
      <w:pPr>
        <w:pStyle w:val="Normal"/>
        <w:jc w:val="center"/>
        <w:rPr>
          <w:rFonts w:eastAsia="Andale Sans UI" w:cs="Times New Roman"/>
          <w:sz w:val="28"/>
          <w:szCs w:val="28"/>
          <w:lang w:bidi="ar-SA"/>
        </w:rPr>
      </w:pPr>
      <w:r>
        <w:rPr>
          <w:rFonts w:eastAsia="Andale Sans UI" w:cs="Times New Roman"/>
          <w:sz w:val="28"/>
          <w:szCs w:val="28"/>
          <w:lang w:bidi="ar-SA"/>
        </w:rPr>
      </w:r>
    </w:p>
    <w:p>
      <w:pPr>
        <w:pStyle w:val="Normal"/>
        <w:jc w:val="center"/>
        <w:rPr>
          <w:rFonts w:eastAsia="Andale Sans UI" w:cs="Times New Roman"/>
          <w:sz w:val="28"/>
          <w:szCs w:val="28"/>
          <w:lang w:bidi="ar-SA"/>
        </w:rPr>
      </w:pPr>
      <w:r>
        <w:rPr>
          <w:rFonts w:eastAsia="Andale Sans UI" w:cs="Times New Roman"/>
          <w:sz w:val="28"/>
          <w:szCs w:val="28"/>
          <w:lang w:bidi="ar-SA"/>
        </w:rPr>
        <w:t>код бюджету 04562000000</w:t>
      </w:r>
    </w:p>
    <w:p>
      <w:pPr>
        <w:pStyle w:val="14"/>
        <w:ind w:firstLine="567"/>
        <w:rPr/>
      </w:pPr>
      <w:r>
        <w:rPr/>
      </w:r>
    </w:p>
    <w:p>
      <w:pPr>
        <w:pStyle w:val="Normal"/>
        <w:jc w:val="both"/>
        <w:rPr>
          <w:sz w:val="28"/>
          <w:szCs w:val="28"/>
        </w:rPr>
      </w:pPr>
      <w:r>
        <w:rPr/>
        <w:tab/>
      </w:r>
      <w:r>
        <w:rPr>
          <w:sz w:val="28"/>
          <w:szCs w:val="28"/>
        </w:rPr>
        <w:t>Відповідно до статті 75</w:t>
      </w:r>
      <w:r>
        <w:rPr>
          <w:sz w:val="28"/>
          <w:szCs w:val="28"/>
          <w:vertAlign w:val="superscript"/>
        </w:rPr>
        <w:t>1</w:t>
      </w:r>
      <w:r>
        <w:rPr>
          <w:sz w:val="28"/>
          <w:szCs w:val="28"/>
        </w:rPr>
        <w:t xml:space="preserve"> Бюджетного кодексу України, Постанови  Кабінету Міністрів України від  31 травня 2021 року № 548 «Про схвалення Бюджетної декларації на 2022-2024 роки»,   керуючись підпунктом 1 пункту «а» статті 28, пунктом 1 частини другої статті 52 Закону України «Про місцеве самоврядування в Україні», з метою своєчасного та якісного процесу формування прогнозу  міського бюджету на 2022-2024 роки, з метою посилення інституційної спроможності місцевих органів влади з питань середньострокового бюджетного планування, міська рада</w:t>
      </w:r>
    </w:p>
    <w:p>
      <w:pPr>
        <w:pStyle w:val="Normal"/>
        <w:jc w:val="both"/>
        <w:rPr>
          <w:sz w:val="28"/>
          <w:szCs w:val="28"/>
        </w:rPr>
      </w:pPr>
      <w:r>
        <w:rPr>
          <w:sz w:val="28"/>
          <w:szCs w:val="28"/>
        </w:rPr>
      </w:r>
    </w:p>
    <w:p>
      <w:pPr>
        <w:pStyle w:val="Normal"/>
        <w:rPr>
          <w:rFonts w:eastAsia="Andale Sans UI" w:cs="Times New Roman"/>
          <w:b/>
          <w:b/>
          <w:sz w:val="28"/>
          <w:szCs w:val="28"/>
          <w:lang w:bidi="ar-SA"/>
        </w:rPr>
      </w:pPr>
      <w:r>
        <w:rPr>
          <w:rFonts w:eastAsia="Andale Sans UI" w:cs="Times New Roman"/>
          <w:b/>
          <w:sz w:val="28"/>
          <w:szCs w:val="28"/>
          <w:lang w:bidi="ar-SA"/>
        </w:rPr>
        <w:t>ВИРІШИЛА :</w:t>
      </w:r>
    </w:p>
    <w:p>
      <w:pPr>
        <w:pStyle w:val="Normal"/>
        <w:tabs>
          <w:tab w:val="clear" w:pos="706"/>
          <w:tab w:val="left" w:pos="0" w:leader="none"/>
        </w:tabs>
        <w:ind w:firstLine="851"/>
        <w:jc w:val="both"/>
        <w:rPr>
          <w:b/>
          <w:b/>
          <w:bCs/>
          <w:sz w:val="28"/>
          <w:szCs w:val="28"/>
        </w:rPr>
      </w:pPr>
      <w:r>
        <w:rPr>
          <w:b/>
          <w:bCs/>
          <w:sz w:val="28"/>
          <w:szCs w:val="28"/>
        </w:rPr>
      </w:r>
    </w:p>
    <w:p>
      <w:pPr>
        <w:pStyle w:val="ListParagraph"/>
        <w:widowControl/>
        <w:suppressAutoHyphens w:val="false"/>
        <w:bidi w:val="0"/>
        <w:spacing w:before="0" w:after="0"/>
        <w:ind w:left="0" w:right="0" w:firstLine="567"/>
        <w:contextualSpacing/>
        <w:jc w:val="both"/>
        <w:rPr>
          <w:sz w:val="28"/>
          <w:szCs w:val="28"/>
        </w:rPr>
      </w:pPr>
      <w:r>
        <w:rPr>
          <w:bCs/>
          <w:sz w:val="28"/>
          <w:szCs w:val="28"/>
        </w:rPr>
        <w:t>1.Схвалити</w:t>
      </w:r>
      <w:r>
        <w:rPr>
          <w:sz w:val="28"/>
          <w:szCs w:val="28"/>
        </w:rPr>
        <w:t xml:space="preserve">  прогноз бюджету Покровської міської територіальної громади на 2022-2024 роки (додається).</w:t>
      </w:r>
    </w:p>
    <w:p>
      <w:pPr>
        <w:pStyle w:val="Normal"/>
        <w:widowControl w:val="false"/>
        <w:tabs>
          <w:tab w:val="clear" w:pos="706"/>
          <w:tab w:val="right" w:pos="9355" w:leader="none"/>
        </w:tabs>
        <w:suppressAutoHyphens w:val="true"/>
        <w:bidi w:val="0"/>
        <w:spacing w:before="0" w:after="0"/>
        <w:ind w:left="0" w:right="0" w:firstLine="567"/>
        <w:jc w:val="both"/>
        <w:rPr>
          <w:rFonts w:eastAsia="Andale Sans UI" w:cs="Times New Roman"/>
          <w:sz w:val="28"/>
          <w:szCs w:val="28"/>
          <w:lang w:bidi="ar-SA"/>
        </w:rPr>
      </w:pPr>
      <w:r>
        <w:rPr>
          <w:sz w:val="28"/>
          <w:szCs w:val="28"/>
        </w:rPr>
        <w:t>2.</w:t>
      </w:r>
      <w:r>
        <w:rPr>
          <w:rFonts w:eastAsia="Andale Sans UI" w:cs="Times New Roman"/>
          <w:sz w:val="28"/>
          <w:szCs w:val="28"/>
          <w:lang w:bidi="ar-SA"/>
        </w:rPr>
        <w:t>Координацію роботи щодо виконання цього рішення покласти на фінансове управління Покровської міської ради (Міщенко Т.В.); контроль -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t xml:space="preserve">Міський голова                             </w:t>
        <w:tab/>
        <w:tab/>
        <w:tab/>
        <w:tab/>
        <w:tab/>
        <w:t xml:space="preserve">          О.М. Шаповал</w:t>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8"/>
          <w:szCs w:val="28"/>
          <w:lang w:bidi="ar-SA"/>
        </w:rPr>
      </w:pPr>
      <w:r>
        <w:rPr>
          <w:rFonts w:eastAsia="Andale Sans UI" w:cs="Times New Roman"/>
          <w:sz w:val="28"/>
          <w:szCs w:val="28"/>
          <w:lang w:bidi="ar-SA"/>
        </w:rPr>
      </w:r>
    </w:p>
    <w:p>
      <w:pPr>
        <w:pStyle w:val="Normal"/>
        <w:jc w:val="both"/>
        <w:rPr>
          <w:rFonts w:eastAsia="Andale Sans UI" w:cs="Times New Roman"/>
          <w:sz w:val="22"/>
          <w:szCs w:val="22"/>
          <w:lang w:bidi="ar-SA"/>
        </w:rPr>
      </w:pPr>
      <w:r>
        <w:rPr>
          <w:rFonts w:eastAsia="Andale Sans UI" w:cs="Times New Roman"/>
          <w:sz w:val="22"/>
          <w:szCs w:val="22"/>
          <w:lang w:bidi="ar-SA"/>
        </w:rPr>
        <w:t>Міщенко  41862</w:t>
      </w:r>
    </w:p>
    <w:p>
      <w:pPr>
        <w:pStyle w:val="Normal"/>
        <w:jc w:val="both"/>
        <w:rPr>
          <w:rFonts w:eastAsia="Andale Sans UI" w:cs="Times New Roman"/>
          <w:sz w:val="28"/>
          <w:szCs w:val="28"/>
          <w:lang w:bidi="ar-SA"/>
        </w:rPr>
      </w:pPr>
      <w:r>
        <w:rPr>
          <w:rFonts w:eastAsia="Andale Sans UI" w:cs="Times New Roman"/>
          <w:sz w:val="28"/>
          <w:szCs w:val="28"/>
          <w:lang w:bidi="ar-SA"/>
        </w:rPr>
      </w:r>
    </w:p>
    <w:p>
      <w:pPr>
        <w:sectPr>
          <w:headerReference w:type="default" r:id="rId2"/>
          <w:footerReference w:type="default" r:id="rId3"/>
          <w:type w:val="nextPage"/>
          <w:pgSz w:w="11906" w:h="16838"/>
          <w:pgMar w:left="1701" w:right="567" w:header="1134" w:top="1191" w:footer="0" w:bottom="1134" w:gutter="0"/>
          <w:pgNumType w:fmt="decimal"/>
          <w:formProt w:val="false"/>
          <w:textDirection w:val="lrTb"/>
          <w:docGrid w:type="default" w:linePitch="360" w:charSpace="0"/>
        </w:sectPr>
        <w:pStyle w:val="Normal"/>
        <w:jc w:val="both"/>
        <w:rPr>
          <w:rFonts w:eastAsia="Andale Sans UI" w:cs="Times New Roman"/>
          <w:sz w:val="28"/>
          <w:szCs w:val="28"/>
          <w:lang w:bidi="ar-SA"/>
        </w:rPr>
      </w:pPr>
      <w:r>
        <w:rPr>
          <w:rFonts w:eastAsia="Andale Sans UI" w:cs="Times New Roman"/>
          <w:sz w:val="28"/>
          <w:szCs w:val="28"/>
          <w:lang w:bidi="ar-SA"/>
        </w:rPr>
      </w:r>
    </w:p>
    <w:p>
      <w:pPr>
        <w:pStyle w:val="Normal"/>
        <w:spacing w:lineRule="auto" w:line="240" w:before="0" w:after="0"/>
        <w:rPr>
          <w:rFonts w:ascii="Times New Roman" w:hAnsi="Times New Roman"/>
          <w:sz w:val="24"/>
          <w:szCs w:val="24"/>
        </w:rPr>
      </w:pPr>
      <w:r>
        <w:rPr>
          <w:sz w:val="24"/>
          <w:szCs w:val="24"/>
        </w:rPr>
        <w:tab/>
        <w:tab/>
        <w:tab/>
        <w:tab/>
        <w:tab/>
        <w:tab/>
        <w:tab/>
        <w:tab/>
        <w:t>ЗАТВЕРДЖЕНО</w:t>
      </w:r>
    </w:p>
    <w:p>
      <w:pPr>
        <w:pStyle w:val="Normal"/>
        <w:spacing w:lineRule="auto" w:line="240" w:before="0" w:after="0"/>
        <w:rPr>
          <w:rFonts w:ascii="Times New Roman" w:hAnsi="Times New Roman"/>
          <w:sz w:val="24"/>
          <w:szCs w:val="24"/>
        </w:rPr>
      </w:pPr>
      <w:r>
        <w:rPr>
          <w:sz w:val="24"/>
          <w:szCs w:val="24"/>
        </w:rPr>
        <w:t xml:space="preserve">                                                                                          </w:t>
      </w:r>
    </w:p>
    <w:p>
      <w:pPr>
        <w:pStyle w:val="Normal"/>
        <w:spacing w:lineRule="auto" w:line="240" w:before="0" w:after="0"/>
        <w:rPr>
          <w:rFonts w:ascii="Times New Roman" w:hAnsi="Times New Roman"/>
          <w:sz w:val="24"/>
          <w:szCs w:val="24"/>
        </w:rPr>
      </w:pPr>
      <w:r>
        <w:rPr>
          <w:sz w:val="24"/>
          <w:szCs w:val="24"/>
        </w:rPr>
        <w:tab/>
        <w:tab/>
        <w:tab/>
        <w:tab/>
        <w:tab/>
        <w:tab/>
        <w:tab/>
        <w:tab/>
        <w:t xml:space="preserve">Рішення  11 сесії міської ради </w:t>
      </w:r>
    </w:p>
    <w:p>
      <w:pPr>
        <w:pStyle w:val="Normal"/>
        <w:spacing w:lineRule="auto" w:line="240" w:before="0" w:after="0"/>
        <w:rPr>
          <w:rFonts w:ascii="Times New Roman" w:hAnsi="Times New Roman"/>
          <w:b/>
          <w:b/>
          <w:sz w:val="24"/>
          <w:szCs w:val="24"/>
        </w:rPr>
      </w:pPr>
      <w:r>
        <w:rPr>
          <w:sz w:val="24"/>
          <w:szCs w:val="24"/>
        </w:rPr>
        <w:t xml:space="preserve">                                                                                          </w:t>
      </w:r>
      <w:r>
        <w:rPr>
          <w:sz w:val="24"/>
          <w:szCs w:val="24"/>
        </w:rPr>
        <w:tab/>
        <w:t xml:space="preserve">8 скликання </w:t>
      </w:r>
    </w:p>
    <w:p>
      <w:pPr>
        <w:pStyle w:val="Normal"/>
        <w:spacing w:lineRule="auto" w:line="240" w:before="0" w:after="0"/>
        <w:rPr>
          <w:rFonts w:ascii="Times New Roman" w:hAnsi="Times New Roman"/>
          <w:b/>
          <w:b/>
          <w:sz w:val="24"/>
          <w:szCs w:val="24"/>
        </w:rPr>
      </w:pPr>
      <w:r>
        <w:rPr>
          <w:sz w:val="24"/>
          <w:szCs w:val="24"/>
        </w:rPr>
        <w:tab/>
        <w:tab/>
        <w:tab/>
        <w:tab/>
        <w:tab/>
        <w:tab/>
        <w:tab/>
        <w:t xml:space="preserve">     </w:t>
        <w:tab/>
        <w:t>20 серпня 2021 р. №</w:t>
      </w:r>
      <w:r>
        <w:rPr>
          <w:b/>
          <w:sz w:val="24"/>
          <w:szCs w:val="24"/>
        </w:rPr>
        <w:t xml:space="preserve"> </w:t>
      </w:r>
      <w:r>
        <w:rPr>
          <w:b w:val="false"/>
          <w:bCs w:val="false"/>
          <w:sz w:val="24"/>
          <w:szCs w:val="24"/>
        </w:rPr>
        <w:t>3</w:t>
      </w:r>
    </w:p>
    <w:p>
      <w:pPr>
        <w:pStyle w:val="Normal"/>
        <w:spacing w:lineRule="auto" w:line="360" w:before="0" w:after="0"/>
        <w:jc w:val="right"/>
        <w:rPr>
          <w:rFonts w:ascii="Times New Roman" w:hAnsi="Times New Roman"/>
          <w:b/>
          <w:b/>
          <w:sz w:val="28"/>
          <w:szCs w:val="28"/>
        </w:rPr>
      </w:pPr>
      <w:r>
        <w:rPr>
          <w:b/>
          <w:sz w:val="28"/>
          <w:szCs w:val="28"/>
        </w:rPr>
      </w:r>
    </w:p>
    <w:p>
      <w:pPr>
        <w:pStyle w:val="Normal"/>
        <w:spacing w:lineRule="auto" w:line="360" w:before="0" w:after="0"/>
        <w:ind w:left="720" w:hanging="0"/>
        <w:jc w:val="center"/>
        <w:rPr>
          <w:rFonts w:ascii="Times New Roman" w:hAnsi="Times New Roman"/>
          <w:b/>
          <w:b/>
          <w:sz w:val="28"/>
          <w:szCs w:val="28"/>
        </w:rPr>
      </w:pPr>
      <w:r>
        <w:rPr>
          <w:b/>
          <w:sz w:val="28"/>
          <w:szCs w:val="28"/>
        </w:rPr>
      </w:r>
    </w:p>
    <w:p>
      <w:pPr>
        <w:pStyle w:val="Normal"/>
        <w:spacing w:lineRule="auto" w:line="360" w:before="0" w:after="0"/>
        <w:jc w:val="center"/>
        <w:rPr>
          <w:rFonts w:ascii="Times New Roman" w:hAnsi="Times New Roman"/>
          <w:b/>
          <w:b/>
          <w:sz w:val="28"/>
          <w:szCs w:val="28"/>
        </w:rPr>
      </w:pPr>
      <w:r>
        <w:rPr>
          <w:b/>
          <w:sz w:val="28"/>
          <w:szCs w:val="28"/>
        </w:rPr>
        <w:t xml:space="preserve">Прогноз </w:t>
      </w:r>
    </w:p>
    <w:p>
      <w:pPr>
        <w:pStyle w:val="Normal"/>
        <w:spacing w:lineRule="auto" w:line="360" w:before="0" w:after="0"/>
        <w:jc w:val="center"/>
        <w:rPr>
          <w:rFonts w:ascii="Times New Roman" w:hAnsi="Times New Roman"/>
          <w:b/>
          <w:b/>
          <w:sz w:val="28"/>
          <w:szCs w:val="28"/>
        </w:rPr>
      </w:pPr>
      <w:r>
        <w:rPr>
          <w:b/>
          <w:sz w:val="28"/>
          <w:szCs w:val="28"/>
        </w:rPr>
        <w:t xml:space="preserve">бюджету Покровської міської територіальної громади </w:t>
      </w:r>
    </w:p>
    <w:p>
      <w:pPr>
        <w:pStyle w:val="Normal"/>
        <w:spacing w:lineRule="auto" w:line="240" w:before="0" w:after="0"/>
        <w:jc w:val="center"/>
        <w:rPr>
          <w:rFonts w:ascii="Times New Roman" w:hAnsi="Times New Roman"/>
          <w:b/>
          <w:b/>
          <w:sz w:val="28"/>
          <w:szCs w:val="28"/>
        </w:rPr>
      </w:pPr>
      <w:r>
        <w:rPr>
          <w:b/>
          <w:sz w:val="28"/>
          <w:szCs w:val="28"/>
        </w:rPr>
        <w:t>на 2022 - 2024  роки</w:t>
      </w:r>
    </w:p>
    <w:p>
      <w:pPr>
        <w:pStyle w:val="NormalWeb"/>
        <w:spacing w:before="280" w:after="280"/>
        <w:jc w:val="center"/>
        <w:rPr>
          <w:b/>
          <w:b/>
          <w:color w:val="000000"/>
          <w:sz w:val="28"/>
          <w:szCs w:val="28"/>
        </w:rPr>
      </w:pPr>
      <w:r>
        <w:rPr>
          <w:b/>
          <w:bCs/>
          <w:sz w:val="28"/>
        </w:rPr>
        <w:t xml:space="preserve"> </w:t>
      </w:r>
      <w:r>
        <w:rPr>
          <w:b/>
          <w:bCs/>
          <w:sz w:val="28"/>
        </w:rPr>
        <w:t>(</w:t>
      </w:r>
      <w:r>
        <w:rPr>
          <w:b/>
          <w:sz w:val="28"/>
        </w:rPr>
        <w:t>04562000000</w:t>
      </w:r>
      <w:r>
        <w:rPr>
          <w:b/>
          <w:bCs/>
          <w:sz w:val="28"/>
        </w:rPr>
        <w:t>)</w:t>
      </w:r>
      <w:r>
        <w:rPr>
          <w:b/>
          <w:sz w:val="28"/>
        </w:rPr>
        <w:br/>
      </w:r>
    </w:p>
    <w:p>
      <w:pPr>
        <w:pStyle w:val="NormalWeb"/>
        <w:spacing w:before="280" w:after="280"/>
        <w:jc w:val="center"/>
        <w:rPr>
          <w:b/>
          <w:b/>
          <w:color w:val="000000"/>
          <w:sz w:val="28"/>
          <w:szCs w:val="28"/>
        </w:rPr>
      </w:pPr>
      <w:r>
        <w:rPr>
          <w:b/>
          <w:color w:val="000000"/>
          <w:sz w:val="28"/>
          <w:szCs w:val="28"/>
        </w:rPr>
        <w:t>І. Загальна частина</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Прогноз бюджету Покровської міської  територіальної громади (далі – Прогноз), який розроблено відповідно до статті 75</w:t>
      </w:r>
      <w:r>
        <w:rPr>
          <w:color w:val="000000"/>
          <w:sz w:val="28"/>
          <w:szCs w:val="28"/>
          <w:vertAlign w:val="superscript"/>
        </w:rPr>
        <w:t xml:space="preserve">1 </w:t>
      </w:r>
      <w:r>
        <w:rPr>
          <w:color w:val="000000"/>
          <w:sz w:val="28"/>
          <w:szCs w:val="28"/>
        </w:rPr>
        <w:t>Бюджетного кодексу України, ґрунтується на положеннях Податкового та Бюджетного кодексів України та інших законодавчих актів, що стосуються місцевих бюджетів та міжбюджетних відносин.</w:t>
      </w:r>
    </w:p>
    <w:p>
      <w:pPr>
        <w:pStyle w:val="Normal"/>
        <w:tabs>
          <w:tab w:val="clear" w:pos="706"/>
          <w:tab w:val="left" w:pos="567" w:leader="none"/>
        </w:tabs>
        <w:spacing w:lineRule="auto" w:line="240" w:before="0" w:after="0"/>
        <w:ind w:firstLine="624"/>
        <w:jc w:val="both"/>
        <w:rPr>
          <w:rFonts w:ascii="Times New Roman" w:hAnsi="Times New Roman"/>
          <w:sz w:val="28"/>
          <w:szCs w:val="28"/>
          <w:lang w:val="ru-RU"/>
        </w:rPr>
      </w:pPr>
      <w:r>
        <w:rPr>
          <w:color w:val="000000"/>
          <w:sz w:val="28"/>
          <w:szCs w:val="28"/>
        </w:rPr>
        <w:t xml:space="preserve">Показники Прогнозу сформовано на підставі положень Бюджетної декларації на 2022-2024 роки, </w:t>
      </w:r>
      <w:r>
        <w:rPr>
          <w:sz w:val="28"/>
          <w:szCs w:val="28"/>
        </w:rPr>
        <w:t xml:space="preserve">основних прогнозних макропоказників економічного і соціального розвику України на 2022-2024 роки, затверджених постановою Кабінету Міністрів України від 31 травня 2021 року № 548 «Про схвалення Бюджетної </w:t>
      </w:r>
      <w:r>
        <w:rPr>
          <w:color w:val="000000"/>
          <w:sz w:val="28"/>
          <w:szCs w:val="28"/>
        </w:rPr>
        <w:t xml:space="preserve">декларації </w:t>
      </w:r>
      <w:r>
        <w:rPr>
          <w:sz w:val="28"/>
          <w:szCs w:val="28"/>
        </w:rPr>
        <w:t>на 2022-2024 роки»</w:t>
      </w:r>
      <w:r>
        <w:rPr>
          <w:sz w:val="28"/>
          <w:szCs w:val="28"/>
          <w:lang w:val="ru-RU"/>
        </w:rPr>
        <w:t xml:space="preserve">.                                     </w:t>
      </w:r>
      <w:r>
        <w:rPr>
          <w:sz w:val="28"/>
          <w:szCs w:val="28"/>
        </w:rPr>
        <w:t xml:space="preserve">    </w:t>
      </w:r>
      <w:r>
        <w:rPr>
          <w:sz w:val="28"/>
          <w:szCs w:val="28"/>
          <w:lang w:val="ru-RU"/>
        </w:rPr>
        <w:t xml:space="preserve">                                                                </w:t>
      </w:r>
    </w:p>
    <w:p>
      <w:pPr>
        <w:pStyle w:val="Normal"/>
        <w:tabs>
          <w:tab w:val="clear" w:pos="706"/>
          <w:tab w:val="left" w:pos="567" w:leader="none"/>
        </w:tabs>
        <w:spacing w:lineRule="auto" w:line="240" w:before="0" w:after="0"/>
        <w:ind w:firstLine="624"/>
        <w:jc w:val="both"/>
        <w:rPr>
          <w:rFonts w:ascii="Times New Roman" w:hAnsi="Times New Roman"/>
          <w:color w:val="000000"/>
          <w:sz w:val="28"/>
          <w:szCs w:val="28"/>
        </w:rPr>
      </w:pPr>
      <w:r>
        <w:rPr>
          <w:color w:val="000000"/>
          <w:sz w:val="28"/>
          <w:szCs w:val="28"/>
        </w:rPr>
        <w:t>Прогноз враховує Стратегію розвитку Покровської міської  територіальної громади до 2025 року та міських програм соціально-економічного та культурного розвитку міста Покров, затверджених міською радою.</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color w:val="000000"/>
          <w:sz w:val="28"/>
          <w:szCs w:val="28"/>
        </w:rPr>
        <w:t>Прогноз є стратегічним документом планування показників міського</w:t>
      </w:r>
      <w:r>
        <w:rPr>
          <w:sz w:val="28"/>
          <w:szCs w:val="28"/>
        </w:rPr>
        <w:t xml:space="preserve"> бюджету на середньостроковий період і основою для складання проекту бюджету на 202</w:t>
      </w:r>
      <w:r>
        <w:rPr>
          <w:sz w:val="28"/>
          <w:szCs w:val="28"/>
          <w:lang w:val="ru-RU"/>
        </w:rPr>
        <w:t>2</w:t>
      </w:r>
      <w:r>
        <w:rPr>
          <w:sz w:val="28"/>
          <w:szCs w:val="28"/>
        </w:rPr>
        <w:t xml:space="preserve"> рік. З огляду на зазначене, метою Прогнозу є забезпечення прозорості, передбачуваності та послідовності бюджетної політики на рівні громади, зокрема шляхом ефективного планування показників бюджету для досягнення цілей та пріоритетів Стратегії розвитку міста Покров до 2025 року, серед яких надання якісних публічних послуг у середньостроковій перспективі.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Для досягнення мети прогнозу бюджету Покровської міської територіальної громади планується забезпечити виконання наступних завдань: </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забезпечення стабільного функцонування бюджетних установ та виконання заходів, пердбачених міськими програмами;</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 xml:space="preserve">- </w:t>
      </w:r>
      <w:r>
        <w:rPr>
          <w:sz w:val="28"/>
          <w:szCs w:val="28"/>
        </w:rPr>
        <w:t>підвищення рівня доступності та якості публічних послуг;</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 xml:space="preserve">- </w:t>
      </w:r>
      <w:r>
        <w:rPr>
          <w:sz w:val="28"/>
          <w:szCs w:val="28"/>
        </w:rPr>
        <w:t>забезпечення комфортності проживання мешканців громади;</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 xml:space="preserve">- </w:t>
      </w:r>
      <w:r>
        <w:rPr>
          <w:sz w:val="28"/>
          <w:szCs w:val="28"/>
        </w:rPr>
        <w:t>сприяння розвитку місцевої економіки;</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w:t>
      </w:r>
      <w:r>
        <w:rPr>
          <w:sz w:val="28"/>
          <w:szCs w:val="28"/>
        </w:rPr>
        <w:t>підвищення прозорості бюджетного процесу, результативності та ефективності видатків бюджету;</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 xml:space="preserve">- </w:t>
      </w:r>
      <w:r>
        <w:rPr>
          <w:sz w:val="28"/>
          <w:szCs w:val="28"/>
        </w:rPr>
        <w:t>посилення бюджетної дисципліни та контролю за використанням бюджетних коштів;</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lang w:val="ru-RU"/>
        </w:rPr>
        <w:t xml:space="preserve">- </w:t>
      </w:r>
      <w:r>
        <w:rPr>
          <w:sz w:val="28"/>
          <w:szCs w:val="28"/>
        </w:rPr>
        <w:t>підвищення рівня відповідальності учасників бюджетного процесу.</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Підвищення рівня доступності та якості публічних послуг очікується досягти шляхом проведення капітального ремонту закладів освіти, охорони здоров’я, поліпшення їх матеріально-технічного забезпечення, реалізації реформ у відповідних галузях.</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Для забезпечення комфортності проживання мешканців громади передбачається здійснити заходи, спрямовані на покращення умов інфраструктурного середовища та екологічного оточення.</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Для забезпечення прозорості бюджетного процесу, результативності та ефективності бюджетних видатків головним розпорядникам коштів рекомендується на регулярній основі</w:t>
      </w:r>
      <w:r>
        <w:rPr>
          <w:b/>
          <w:sz w:val="28"/>
          <w:szCs w:val="28"/>
        </w:rPr>
        <w:t xml:space="preserve">  </w:t>
      </w:r>
      <w:r>
        <w:rPr>
          <w:sz w:val="28"/>
          <w:szCs w:val="28"/>
        </w:rPr>
        <w:t>здійснювати оцінку ефективності виконання бюджетних програм, що сприятиме підвищенню якості управління бюджетними коштами.</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З метою підвищення рівня прозорості бюджетного процесу, а також доступності інформації про бюджет та бюджетний процес,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надає можливість кожному жителю громади брати участь в розподілі коштів міського бюджету через розробку та реалізацію проектів розвитку.</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Контроль за використанням бюджетних коштів здійснюватиметься в рамках планових перевірок діяльності посадових осіб, відповідальних за розподіл та використання фінансового ресурсу бюджету.</w:t>
      </w:r>
    </w:p>
    <w:p>
      <w:pPr>
        <w:pStyle w:val="Normal"/>
        <w:tabs>
          <w:tab w:val="clear" w:pos="706"/>
          <w:tab w:val="left" w:pos="567" w:leader="none"/>
        </w:tabs>
        <w:spacing w:lineRule="auto" w:line="240" w:before="0" w:after="0"/>
        <w:ind w:firstLine="709"/>
        <w:jc w:val="both"/>
        <w:rPr>
          <w:rFonts w:ascii="Times New Roman" w:hAnsi="Times New Roman"/>
          <w:sz w:val="28"/>
          <w:szCs w:val="28"/>
        </w:rPr>
      </w:pPr>
      <w:r>
        <w:rPr>
          <w:sz w:val="28"/>
          <w:szCs w:val="28"/>
        </w:rPr>
        <w:t>У рамках забезпечення виконання завдань Прогнозу планується досягти наступних результатів:</w:t>
      </w:r>
    </w:p>
    <w:tbl>
      <w:tblPr>
        <w:tblW w:w="9602" w:type="dxa"/>
        <w:jc w:val="left"/>
        <w:tblInd w:w="-113" w:type="dxa"/>
        <w:tblLayout w:type="fixed"/>
        <w:tblCellMar>
          <w:top w:w="0" w:type="dxa"/>
          <w:left w:w="108" w:type="dxa"/>
          <w:bottom w:w="0" w:type="dxa"/>
          <w:right w:w="108" w:type="dxa"/>
        </w:tblCellMar>
        <w:tblLook w:firstRow="1" w:noVBand="0" w:lastRow="0" w:firstColumn="1" w:lastColumn="0" w:noHBand="0" w:val="00a0"/>
      </w:tblPr>
      <w:tblGrid>
        <w:gridCol w:w="4783"/>
        <w:gridCol w:w="4818"/>
      </w:tblGrid>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center"/>
              <w:rPr>
                <w:rFonts w:ascii="Times New Roman" w:hAnsi="Times New Roman"/>
                <w:b/>
                <w:b/>
                <w:sz w:val="24"/>
                <w:szCs w:val="24"/>
              </w:rPr>
            </w:pPr>
            <w:r>
              <w:rPr>
                <w:b/>
                <w:sz w:val="24"/>
                <w:szCs w:val="24"/>
              </w:rPr>
              <w:t>Завдання</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center"/>
              <w:rPr>
                <w:rFonts w:ascii="Times New Roman" w:hAnsi="Times New Roman"/>
                <w:b/>
                <w:b/>
                <w:sz w:val="24"/>
                <w:szCs w:val="24"/>
              </w:rPr>
            </w:pPr>
            <w:r>
              <w:rPr>
                <w:b/>
                <w:sz w:val="24"/>
                <w:szCs w:val="24"/>
              </w:rPr>
              <w:t>Очікувані результати</w:t>
            </w:r>
          </w:p>
        </w:tc>
      </w:tr>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Підвищення рівня доступності та якості публічних послуг</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Проведено капітальний ремонт бюджетних установ;</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Підвищено кваліфікацію педагогічних працівників;</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Облаштовано освітні заклади новими меблями та сучасним обладнанням;</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Створено спеціальні та інклюзивні класи(групи) у закладах дошкільної, загальної середньої освіти;</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Підвищено рівень успішності серед учнів закладів загальної середньої освіти;</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Підвищено рівень охоплення дітей послугами дошкільної освіти;</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Зменшено рівень захворюваності серед жителів громади;</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Спрощено та зменшено тривалість процедур з надання адміністративних послуг громадянам.</w:t>
            </w:r>
          </w:p>
        </w:tc>
      </w:tr>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Забезпечення комфортності проживання мешканців громади</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Зменшено видатки бюджету на енергоносії (впроваджено енергозберігаючі проекти в бюджетних установах, встановлено енергозберігаюче освітлення вулиць);</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Підвищено рівень комфотрності проживання в місті (здійснено заходи з озеленення території, встановлено засоби освітлення в місцях очікування громадського транспорту).</w:t>
            </w:r>
          </w:p>
        </w:tc>
      </w:tr>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Підвищення прозорості бюджетного процесу</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Збільшено частку видатків бюджету, які спрямовуються на реалізацію проектів розвитку в рамках впровадження «бюджету участі».</w:t>
            </w:r>
          </w:p>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r>
          </w:p>
        </w:tc>
      </w:tr>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Підвищення результативності та ефективності видатків бюджету</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Економія/перерозподіл бюджетних коштів у разі виявлення випадків їх неефективного використання за результатами проведення моніторингу та оцінки ефективності бюджетних програм.</w:t>
            </w:r>
          </w:p>
        </w:tc>
      </w:tr>
      <w:tr>
        <w:trPr/>
        <w:tc>
          <w:tcPr>
            <w:tcW w:w="4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Посилення бюджетної дисципліни та контролю за використанням бюджетних коштів, підвищення рівня відповідальності</w:t>
            </w:r>
            <w:r>
              <w:rPr>
                <w:sz w:val="26"/>
                <w:szCs w:val="26"/>
                <w:lang w:val="ru-RU"/>
              </w:rPr>
              <w:t xml:space="preserve"> </w:t>
            </w:r>
            <w:r>
              <w:rPr>
                <w:sz w:val="26"/>
                <w:szCs w:val="26"/>
              </w:rPr>
              <w:t>учасників бюджетного процесу.</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567" w:leader="none"/>
              </w:tabs>
              <w:spacing w:lineRule="auto" w:line="240" w:before="0" w:after="0"/>
              <w:jc w:val="both"/>
              <w:rPr>
                <w:rFonts w:ascii="Times New Roman" w:hAnsi="Times New Roman"/>
                <w:sz w:val="26"/>
                <w:szCs w:val="26"/>
              </w:rPr>
            </w:pPr>
            <w:r>
              <w:rPr>
                <w:sz w:val="26"/>
                <w:szCs w:val="26"/>
              </w:rPr>
              <w:t>Зменшення кількості випадків неефективного та нецільового використання бюджетних коштів, а також інших випадків порушення бюджетного законодавства в ході реалізації бюджетного процесу.</w:t>
            </w:r>
          </w:p>
        </w:tc>
      </w:tr>
    </w:tbl>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FF0000"/>
          <w:sz w:val="28"/>
          <w:szCs w:val="28"/>
        </w:rPr>
      </w:pPr>
      <w:r>
        <w:rPr>
          <w:color w:val="FF0000"/>
          <w:sz w:val="28"/>
          <w:szCs w:val="28"/>
        </w:rPr>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Можливими ризиками невиконання прогнозних показників можуть бути зростання тарифів на оплату комунальних послуг та енергоносіїв на 5% і більше у порівнянні з показниками, врахованими у Прогнозі, невиконання прогнозних показників доходів бюджету на 5% і вище, підвищення рівня інфляції. Заходами з мінімізації впливу фіскальних ризиків на показники бюджету є здійснення заходів з енергоощадження,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r>
    </w:p>
    <w:p>
      <w:pPr>
        <w:pStyle w:val="Normal"/>
        <w:tabs>
          <w:tab w:val="clear" w:pos="706"/>
          <w:tab w:val="left" w:pos="567" w:leader="none"/>
          <w:tab w:val="left" w:pos="1134" w:leader="none"/>
        </w:tabs>
        <w:spacing w:lineRule="auto" w:line="240" w:before="0" w:after="0"/>
        <w:ind w:firstLine="567"/>
        <w:jc w:val="center"/>
        <w:rPr>
          <w:rFonts w:ascii="Times New Roman" w:hAnsi="Times New Roman"/>
          <w:b/>
          <w:b/>
          <w:color w:val="000000"/>
          <w:sz w:val="28"/>
          <w:szCs w:val="28"/>
        </w:rPr>
      </w:pPr>
      <w:r>
        <w:rPr>
          <w:b/>
          <w:color w:val="000000"/>
          <w:sz w:val="28"/>
          <w:szCs w:val="28"/>
        </w:rPr>
        <w:t>ІІ. Основні прогнозні показники економічного та соціального розвитку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b/>
          <w:b/>
          <w:color w:val="000000"/>
          <w:sz w:val="28"/>
          <w:szCs w:val="28"/>
        </w:rPr>
      </w:pPr>
      <w:r>
        <w:rPr>
          <w:b/>
          <w:color w:val="000000"/>
          <w:sz w:val="28"/>
          <w:szCs w:val="28"/>
        </w:rPr>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Відповідно до стратегії розвитку Покровської міської територіальної громади до 202</w:t>
      </w:r>
      <w:r>
        <w:rPr>
          <w:color w:val="000000"/>
          <w:sz w:val="28"/>
          <w:szCs w:val="28"/>
          <w:lang w:val="ru-RU"/>
        </w:rPr>
        <w:t>5</w:t>
      </w:r>
      <w:r>
        <w:rPr>
          <w:color w:val="000000"/>
          <w:sz w:val="28"/>
          <w:szCs w:val="28"/>
        </w:rPr>
        <w:t xml:space="preserve"> року основними пріоритетами економічного розвитку визначено:</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1.Створення умов для залучення інвестицій.</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lang w:val="ru-RU"/>
        </w:rPr>
      </w:pPr>
      <w:r>
        <w:rPr>
          <w:color w:val="000000"/>
          <w:sz w:val="28"/>
          <w:szCs w:val="28"/>
        </w:rPr>
        <w:t>2. Підтримка розвитку бізнесу.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3. Енергоефективність та розвиток альтернативної енергетики.</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4. Розвиток інфраструктури територіальної громади, благоустрій територій.</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5. Підвищення до європейського рівня умов проживання мешканців територіальної громади.</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6. Забезпечення якості соціально-гуманітарних послуг на рівні провідних європейських стандартів.</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7. Формування конкуренто-спроможного інтелектуального капіталу.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8. Здоровий та культурний розвиток населення.</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b/>
          <w:color w:val="000000"/>
          <w:sz w:val="28"/>
          <w:szCs w:val="28"/>
        </w:rPr>
        <w:t xml:space="preserve">Поточний економічний стан. </w:t>
      </w:r>
      <w:r>
        <w:rPr>
          <w:color w:val="000000"/>
          <w:sz w:val="28"/>
          <w:szCs w:val="28"/>
        </w:rPr>
        <w:t>За підсумками січня - лип</w:t>
      </w:r>
      <w:r>
        <w:rPr>
          <w:color w:val="000000"/>
          <w:sz w:val="28"/>
          <w:szCs w:val="28"/>
          <w:lang w:val="ru-RU"/>
        </w:rPr>
        <w:t>ня</w:t>
      </w:r>
      <w:r>
        <w:rPr>
          <w:color w:val="000000"/>
          <w:sz w:val="28"/>
          <w:szCs w:val="28"/>
        </w:rPr>
        <w:t xml:space="preserve"> 2021 р. в галузях реального сектору економіки спостерігаються зміни ключових показників. Обіг роздрібної торгівлі складав 259,5 млн грн, що становить 103,8% в порівнянні з аналогічним періодом минулого року. Обсяг виробництва промислової продукції в 2020 році склав 4 490,5 млн грн, за 7 місяців 2021 р. цей показник становить 2 619 млн грн, на кінець року обсяг виробництва промислової продукції очікується на рівні 2020 року. </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xml:space="preserve">Середня заробітна плата по місту у другому кварталі 2021 р. склала </w:t>
      </w:r>
      <w:r>
        <w:rPr>
          <w:color w:val="000000"/>
          <w:sz w:val="28"/>
          <w:szCs w:val="28"/>
          <w:lang w:val="ru-RU"/>
        </w:rPr>
        <w:t xml:space="preserve">      </w:t>
      </w:r>
      <w:r>
        <w:rPr>
          <w:color w:val="000000"/>
          <w:sz w:val="28"/>
          <w:szCs w:val="28"/>
        </w:rPr>
        <w:t xml:space="preserve">11 606 грн, що становить 108,3% до аналогічного періоду 2020 року. Заборгованість із виплати заробітної плати на території громади відсутня. Кількість зареєстрованих безробітних станом на перше серпня склала 457 осіб, що становить 78% в порівнянні з аналогічним періодом минулого року. Забезпечувалась адресна підтримка пенсіонерів, інвалідів, ветеранів та інших соціально незахищених категорій громадян. Так, станом на 01.08.2021 року 403 особи отримали одноразову матеріальну допомогу на суму 759 907,00 грн, середній розмір якої становить 1 885,63 грн. </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b/>
          <w:color w:val="000000"/>
          <w:sz w:val="28"/>
          <w:szCs w:val="28"/>
        </w:rPr>
        <w:t xml:space="preserve">Очікування до кінця 2021 року. </w:t>
      </w:r>
      <w:r>
        <w:rPr>
          <w:color w:val="000000"/>
          <w:sz w:val="28"/>
          <w:szCs w:val="28"/>
        </w:rPr>
        <w:t xml:space="preserve">Очікується, що до кінця 2021 року обсяг реалізованої продукції за підсумками року складатиме на рівні 2020 року. </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Для забезпечення подальшого розвитку територіальної громади Покровської міської ради на середньострокову перспективу визначено наступні цілі та пріоритети соціально-економічного розвитку: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підвищення рівня життя населення;</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зменшення рівня тіньової економіки;</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збільшення обсягу виробництва та реалізації промислової продукції;</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підвищення конкурентоздатності промислової продукції та збільшення обсягів її виробництва і реалізації, у тому числі шляхом її експорту;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залучення інвестицій в економіку громади.</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b/>
          <w:color w:val="000000"/>
          <w:sz w:val="28"/>
          <w:szCs w:val="28"/>
        </w:rPr>
        <w:t>Перспективи економічного і соціального розвитку на середньострокову перспективу (202</w:t>
      </w:r>
      <w:r>
        <w:rPr>
          <w:b/>
          <w:color w:val="000000"/>
          <w:sz w:val="28"/>
          <w:szCs w:val="28"/>
          <w:lang w:val="ru-RU"/>
        </w:rPr>
        <w:t>2</w:t>
      </w:r>
      <w:r>
        <w:rPr>
          <w:b/>
          <w:color w:val="000000"/>
          <w:sz w:val="28"/>
          <w:szCs w:val="28"/>
        </w:rPr>
        <w:t>-202</w:t>
      </w:r>
      <w:r>
        <w:rPr>
          <w:b/>
          <w:color w:val="000000"/>
          <w:sz w:val="28"/>
          <w:szCs w:val="28"/>
          <w:lang w:val="ru-RU"/>
        </w:rPr>
        <w:t>4</w:t>
      </w:r>
      <w:r>
        <w:rPr>
          <w:b/>
          <w:color w:val="000000"/>
          <w:sz w:val="28"/>
          <w:szCs w:val="28"/>
        </w:rPr>
        <w:t xml:space="preserve"> роки).</w:t>
      </w:r>
      <w:r>
        <w:rPr>
          <w:color w:val="000000"/>
          <w:sz w:val="28"/>
          <w:szCs w:val="28"/>
        </w:rPr>
        <w:t xml:space="preserve"> Прогноз сформовано відповідно до основних прогнозних макропоказників економічного і соціального розвитку України та основних прогнозних показників економічного та соціального розвитку територіальної громади Покровської міської ради, які представлено в таблиці нижче.</w:t>
      </w:r>
    </w:p>
    <w:p>
      <w:pPr>
        <w:pStyle w:val="Normal"/>
        <w:tabs>
          <w:tab w:val="clear" w:pos="706"/>
          <w:tab w:val="left" w:pos="567" w:leader="none"/>
          <w:tab w:val="left" w:pos="1134" w:leader="none"/>
        </w:tabs>
        <w:spacing w:lineRule="auto" w:line="240" w:before="0" w:after="0"/>
        <w:ind w:firstLine="567"/>
        <w:jc w:val="both"/>
        <w:rPr>
          <w:rFonts w:ascii="Times New Roman" w:hAnsi="Times New Roman"/>
          <w:b/>
          <w:b/>
          <w:color w:val="000000"/>
          <w:sz w:val="28"/>
          <w:szCs w:val="28"/>
        </w:rPr>
      </w:pPr>
      <w:r>
        <w:rPr>
          <w:b/>
          <w:color w:val="000000"/>
          <w:sz w:val="28"/>
          <w:szCs w:val="28"/>
        </w:rPr>
        <w:t>Основні макроекономічні показники економічного та соціального розвитку України та основні показники економічного та соціального розвитку територіальної громади Покровської міської ради у 202</w:t>
      </w:r>
      <w:r>
        <w:rPr>
          <w:b/>
          <w:color w:val="000000"/>
          <w:sz w:val="28"/>
          <w:szCs w:val="28"/>
          <w:lang w:val="ru-RU"/>
        </w:rPr>
        <w:t>2</w:t>
      </w:r>
      <w:r>
        <w:rPr>
          <w:b/>
          <w:color w:val="000000"/>
          <w:sz w:val="28"/>
          <w:szCs w:val="28"/>
        </w:rPr>
        <w:t>-2024 роках.</w:t>
      </w:r>
    </w:p>
    <w:p>
      <w:pPr>
        <w:pStyle w:val="Normal"/>
        <w:tabs>
          <w:tab w:val="clear" w:pos="706"/>
          <w:tab w:val="left" w:pos="567"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r>
    </w:p>
    <w:tbl>
      <w:tblPr>
        <w:tblW w:w="9645" w:type="dxa"/>
        <w:jc w:val="left"/>
        <w:tblInd w:w="-48" w:type="dxa"/>
        <w:tblLayout w:type="fixed"/>
        <w:tblCellMar>
          <w:top w:w="55" w:type="dxa"/>
          <w:left w:w="46" w:type="dxa"/>
          <w:bottom w:w="55" w:type="dxa"/>
          <w:right w:w="55" w:type="dxa"/>
        </w:tblCellMar>
        <w:tblLook w:firstRow="1" w:noVBand="0" w:lastRow="0" w:firstColumn="1" w:lastColumn="0" w:noHBand="0" w:val="00a0"/>
      </w:tblPr>
      <w:tblGrid>
        <w:gridCol w:w="4140"/>
        <w:gridCol w:w="1103"/>
        <w:gridCol w:w="1102"/>
        <w:gridCol w:w="1100"/>
        <w:gridCol w:w="1104"/>
        <w:gridCol w:w="1095"/>
      </w:tblGrid>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Найменування показника, одиниця виміру</w:t>
            </w:r>
          </w:p>
        </w:tc>
        <w:tc>
          <w:tcPr>
            <w:tcW w:w="1103"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2020</w:t>
            </w:r>
          </w:p>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(факт)</w:t>
            </w:r>
          </w:p>
        </w:tc>
        <w:tc>
          <w:tcPr>
            <w:tcW w:w="1102"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2021р. (очікув.)</w:t>
            </w:r>
          </w:p>
        </w:tc>
        <w:tc>
          <w:tcPr>
            <w:tcW w:w="110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2022р. (прогноз)</w:t>
            </w:r>
          </w:p>
        </w:tc>
        <w:tc>
          <w:tcPr>
            <w:tcW w:w="1104"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2023р. (прогноз)</w:t>
            </w:r>
          </w:p>
        </w:tc>
        <w:tc>
          <w:tcPr>
            <w:tcW w:w="10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2024</w:t>
            </w:r>
          </w:p>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(прогноз)</w:t>
            </w:r>
          </w:p>
        </w:tc>
      </w:tr>
      <w:tr>
        <w:trPr/>
        <w:tc>
          <w:tcPr>
            <w:tcW w:w="9644" w:type="dxa"/>
            <w:gridSpan w:val="6"/>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b/>
                <w:b/>
                <w:bCs/>
                <w:color w:val="000000"/>
              </w:rPr>
            </w:pPr>
            <w:r>
              <w:rPr>
                <w:b/>
                <w:bCs/>
                <w:color w:val="000000"/>
              </w:rPr>
              <w:t>Основні макропоказники економічного розвитку України</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Валовий внутрішній продукт (у відсотках до попереднього року)</w:t>
            </w:r>
          </w:p>
        </w:tc>
        <w:tc>
          <w:tcPr>
            <w:tcW w:w="1103"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96,0</w:t>
            </w:r>
          </w:p>
        </w:tc>
        <w:tc>
          <w:tcPr>
            <w:tcW w:w="1102"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104,1</w:t>
            </w:r>
          </w:p>
        </w:tc>
        <w:tc>
          <w:tcPr>
            <w:tcW w:w="1100"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103,8</w:t>
            </w:r>
          </w:p>
        </w:tc>
        <w:tc>
          <w:tcPr>
            <w:tcW w:w="1104"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104,7</w:t>
            </w:r>
          </w:p>
        </w:tc>
        <w:tc>
          <w:tcPr>
            <w:tcW w:w="10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105,0</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Індекс споживчих цін (грудень до грудня попереднього року)</w:t>
            </w:r>
          </w:p>
        </w:tc>
        <w:tc>
          <w:tcPr>
            <w:tcW w:w="1103"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105,0</w:t>
            </w:r>
          </w:p>
        </w:tc>
        <w:tc>
          <w:tcPr>
            <w:tcW w:w="1102"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108,9</w:t>
            </w:r>
          </w:p>
        </w:tc>
        <w:tc>
          <w:tcPr>
            <w:tcW w:w="1100"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106,2</w:t>
            </w:r>
          </w:p>
        </w:tc>
        <w:tc>
          <w:tcPr>
            <w:tcW w:w="1104"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105,3</w:t>
            </w:r>
          </w:p>
        </w:tc>
        <w:tc>
          <w:tcPr>
            <w:tcW w:w="10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105,0</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Індекс цін виробників (грудень до грудня попереднього року)</w:t>
            </w:r>
          </w:p>
        </w:tc>
        <w:tc>
          <w:tcPr>
            <w:tcW w:w="1103"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114,5</w:t>
            </w:r>
          </w:p>
        </w:tc>
        <w:tc>
          <w:tcPr>
            <w:tcW w:w="1102"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117</w:t>
            </w:r>
          </w:p>
        </w:tc>
        <w:tc>
          <w:tcPr>
            <w:tcW w:w="1100"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107,8</w:t>
            </w:r>
          </w:p>
        </w:tc>
        <w:tc>
          <w:tcPr>
            <w:tcW w:w="1104" w:type="dxa"/>
            <w:tcBorders>
              <w:top w:val="single" w:sz="2" w:space="0" w:color="000000"/>
              <w:left w:val="single" w:sz="2" w:space="0" w:color="000000"/>
              <w:bottom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106,2</w:t>
            </w:r>
          </w:p>
        </w:tc>
        <w:tc>
          <w:tcPr>
            <w:tcW w:w="1095"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105,7</w:t>
            </w:r>
          </w:p>
        </w:tc>
      </w:tr>
      <w:tr>
        <w:trPr/>
        <w:tc>
          <w:tcPr>
            <w:tcW w:w="9644" w:type="dxa"/>
            <w:gridSpan w:val="6"/>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b/>
                <w:b/>
                <w:bCs/>
                <w:color w:val="000000"/>
              </w:rPr>
            </w:pPr>
            <w:r>
              <w:rPr>
                <w:b/>
                <w:bCs/>
                <w:color w:val="000000"/>
              </w:rPr>
              <w:t>Основні показники економічного і соціального розвитку Покровської міської ОТГ Дніпропетровської області</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color w:val="000000"/>
              </w:rPr>
            </w:pPr>
            <w:r>
              <w:rPr>
                <w:color w:val="000000"/>
              </w:rPr>
              <w:t>Обсяг реалізованої промислової продукції, млн.</w:t>
            </w:r>
            <w:r>
              <w:rPr>
                <w:color w:val="000000"/>
                <w:lang w:val="ru-RU"/>
              </w:rPr>
              <w:t xml:space="preserve"> </w:t>
            </w:r>
            <w:r>
              <w:rPr>
                <w:color w:val="000000"/>
              </w:rPr>
              <w:t>грн</w:t>
            </w:r>
          </w:p>
        </w:tc>
        <w:tc>
          <w:tcPr>
            <w:tcW w:w="1103"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4490,5</w:t>
            </w:r>
          </w:p>
        </w:tc>
        <w:tc>
          <w:tcPr>
            <w:tcW w:w="1102"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4990,7</w:t>
            </w:r>
          </w:p>
        </w:tc>
        <w:tc>
          <w:tcPr>
            <w:tcW w:w="110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6908,3</w:t>
            </w:r>
          </w:p>
        </w:tc>
        <w:tc>
          <w:tcPr>
            <w:tcW w:w="1104"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7599,13</w:t>
            </w:r>
          </w:p>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r>
          </w:p>
        </w:tc>
        <w:tc>
          <w:tcPr>
            <w:tcW w:w="10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7953,1</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Індекс обсягу продукції у % до попереднього року</w:t>
            </w:r>
          </w:p>
        </w:tc>
        <w:tc>
          <w:tcPr>
            <w:tcW w:w="1103"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126,6</w:t>
            </w:r>
          </w:p>
        </w:tc>
        <w:tc>
          <w:tcPr>
            <w:tcW w:w="1102"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121,2</w:t>
            </w:r>
          </w:p>
        </w:tc>
        <w:tc>
          <w:tcPr>
            <w:tcW w:w="110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119,3</w:t>
            </w:r>
          </w:p>
        </w:tc>
        <w:tc>
          <w:tcPr>
            <w:tcW w:w="1104"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110,0</w:t>
            </w:r>
          </w:p>
        </w:tc>
        <w:tc>
          <w:tcPr>
            <w:tcW w:w="10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112,1</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rFonts w:ascii="Times New Roman" w:hAnsi="Times New Roman"/>
                <w:color w:val="000000"/>
              </w:rPr>
            </w:pPr>
            <w:r>
              <w:rPr>
                <w:color w:val="000000"/>
              </w:rPr>
              <w:t>Фонд оплати праці, тис.</w:t>
            </w:r>
            <w:r>
              <w:rPr>
                <w:color w:val="000000"/>
                <w:lang w:val="ru-RU"/>
              </w:rPr>
              <w:t xml:space="preserve"> </w:t>
            </w:r>
            <w:r>
              <w:rPr>
                <w:color w:val="000000"/>
              </w:rPr>
              <w:t>грн</w:t>
            </w:r>
          </w:p>
        </w:tc>
        <w:tc>
          <w:tcPr>
            <w:tcW w:w="1103"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1045351</w:t>
            </w:r>
          </w:p>
        </w:tc>
        <w:tc>
          <w:tcPr>
            <w:tcW w:w="1102"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1261739</w:t>
            </w:r>
          </w:p>
        </w:tc>
        <w:tc>
          <w:tcPr>
            <w:tcW w:w="110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1513547</w:t>
            </w:r>
          </w:p>
        </w:tc>
        <w:tc>
          <w:tcPr>
            <w:tcW w:w="1104"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1814791</w:t>
            </w:r>
          </w:p>
        </w:tc>
        <w:tc>
          <w:tcPr>
            <w:tcW w:w="10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2214791</w:t>
            </w:r>
          </w:p>
        </w:tc>
      </w:tr>
      <w:tr>
        <w:trPr/>
        <w:tc>
          <w:tcPr>
            <w:tcW w:w="414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rPr>
                <w:color w:val="000000"/>
                <w:lang w:val="ru-RU"/>
              </w:rPr>
            </w:pPr>
            <w:r>
              <w:rPr>
                <w:color w:val="000000"/>
              </w:rPr>
              <w:t>Середньомісячна заробітна плата, гр</w:t>
            </w:r>
            <w:r>
              <w:rPr>
                <w:color w:val="000000"/>
                <w:lang w:val="ru-RU"/>
              </w:rPr>
              <w:t>н</w:t>
            </w:r>
          </w:p>
        </w:tc>
        <w:tc>
          <w:tcPr>
            <w:tcW w:w="1103"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10711</w:t>
            </w:r>
          </w:p>
        </w:tc>
        <w:tc>
          <w:tcPr>
            <w:tcW w:w="1102"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11606</w:t>
            </w:r>
          </w:p>
        </w:tc>
        <w:tc>
          <w:tcPr>
            <w:tcW w:w="1100"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color w:val="000000"/>
              </w:rPr>
            </w:pPr>
            <w:r>
              <w:rPr>
                <w:color w:val="000000"/>
              </w:rPr>
              <w:t>13436</w:t>
            </w:r>
          </w:p>
        </w:tc>
        <w:tc>
          <w:tcPr>
            <w:tcW w:w="1104" w:type="dxa"/>
            <w:tcBorders>
              <w:top w:val="single" w:sz="2" w:space="0" w:color="000000"/>
              <w:left w:val="single" w:sz="2" w:space="0" w:color="000000"/>
              <w:bottom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15048</w:t>
            </w:r>
          </w:p>
        </w:tc>
        <w:tc>
          <w:tcPr>
            <w:tcW w:w="1095"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tabs>
                <w:tab w:val="clear" w:pos="706"/>
                <w:tab w:val="left" w:pos="567" w:leader="none"/>
              </w:tabs>
              <w:suppressAutoHyphens w:val="true"/>
              <w:spacing w:lineRule="auto" w:line="240" w:before="0" w:after="0"/>
              <w:jc w:val="center"/>
              <w:rPr>
                <w:rFonts w:ascii="Times New Roman" w:hAnsi="Times New Roman"/>
                <w:color w:val="000000"/>
              </w:rPr>
            </w:pPr>
            <w:r>
              <w:rPr>
                <w:color w:val="000000"/>
              </w:rPr>
              <w:t>16547</w:t>
            </w:r>
          </w:p>
        </w:tc>
      </w:tr>
    </w:tbl>
    <w:p>
      <w:pPr>
        <w:pStyle w:val="Normal"/>
        <w:tabs>
          <w:tab w:val="clear" w:pos="706"/>
          <w:tab w:val="left" w:pos="567" w:leader="none"/>
        </w:tabs>
        <w:suppressAutoHyphens w:val="true"/>
        <w:spacing w:lineRule="auto" w:line="240" w:before="0" w:after="0"/>
        <w:jc w:val="both"/>
        <w:rPr>
          <w:rFonts w:ascii="Times New Roman" w:hAnsi="Times New Roman"/>
          <w:i/>
          <w:i/>
          <w:iCs/>
          <w:color w:val="000000"/>
        </w:rPr>
      </w:pPr>
      <w:r>
        <w:rPr>
          <w:i/>
          <w:iCs/>
          <w:color w:val="000000"/>
        </w:rPr>
      </w:r>
    </w:p>
    <w:p>
      <w:pPr>
        <w:pStyle w:val="Normal"/>
        <w:tabs>
          <w:tab w:val="clear" w:pos="706"/>
          <w:tab w:val="left" w:pos="567" w:leader="none"/>
        </w:tabs>
        <w:suppressAutoHyphens w:val="true"/>
        <w:spacing w:lineRule="auto" w:line="240" w:before="0" w:after="0"/>
        <w:ind w:firstLine="567"/>
        <w:jc w:val="both"/>
        <w:rPr>
          <w:color w:val="000000"/>
        </w:rPr>
      </w:pPr>
      <w:r>
        <w:rPr>
          <w:color w:val="000000"/>
          <w:sz w:val="28"/>
          <w:szCs w:val="28"/>
        </w:rPr>
        <w:t xml:space="preserve">У прогнозованому періоді планується вжити заходів щодо збільшення обсягів випуску промислової продукції, збільшення об’ємів експортної продукції. </w:t>
      </w:r>
    </w:p>
    <w:p>
      <w:pPr>
        <w:pStyle w:val="Normal"/>
        <w:tabs>
          <w:tab w:val="clear" w:pos="706"/>
          <w:tab w:val="left" w:pos="567" w:leader="none"/>
        </w:tabs>
        <w:suppressAutoHyphens w:val="true"/>
        <w:spacing w:lineRule="auto" w:line="240" w:before="0" w:after="0"/>
        <w:ind w:firstLine="567"/>
        <w:jc w:val="both"/>
        <w:rPr>
          <w:color w:val="000000"/>
        </w:rPr>
      </w:pPr>
      <w:r>
        <w:rPr>
          <w:color w:val="000000"/>
          <w:sz w:val="28"/>
          <w:szCs w:val="28"/>
        </w:rPr>
        <w:t>Будуть вживатися заходи для підвищення інвестиційної привабливості громади, підтримки малого та середнього підприємництва, забезпечення гідної оплати праці. Як наслідок, прогнозується подальше зростання реальної заробітної плати, враховуючи визначені Урядом показники інфляції, а також зниження рівня безробіття.</w:t>
      </w:r>
    </w:p>
    <w:p>
      <w:pPr>
        <w:pStyle w:val="Normal"/>
        <w:tabs>
          <w:tab w:val="clear" w:pos="706"/>
          <w:tab w:val="left" w:pos="567" w:leader="none"/>
          <w:tab w:val="left" w:pos="855" w:leader="none"/>
        </w:tabs>
        <w:suppressAutoHyphens w:val="true"/>
        <w:spacing w:lineRule="auto" w:line="240" w:before="0" w:after="0"/>
        <w:ind w:firstLine="850"/>
        <w:jc w:val="both"/>
        <w:rPr>
          <w:rFonts w:ascii="Times New Roman" w:hAnsi="Times New Roman"/>
          <w:color w:val="FF0000"/>
        </w:rPr>
      </w:pPr>
      <w:r>
        <w:rPr>
          <w:color w:val="FF0000"/>
        </w:rPr>
      </w:r>
    </w:p>
    <w:p>
      <w:pPr>
        <w:pStyle w:val="Normal"/>
        <w:tabs>
          <w:tab w:val="clear" w:pos="706"/>
          <w:tab w:val="left" w:pos="567" w:leader="none"/>
          <w:tab w:val="left" w:pos="1134" w:leader="none"/>
        </w:tabs>
        <w:spacing w:lineRule="auto" w:line="240" w:before="0" w:after="0"/>
        <w:ind w:firstLine="567"/>
        <w:jc w:val="center"/>
        <w:rPr>
          <w:rFonts w:ascii="Times New Roman" w:hAnsi="Times New Roman"/>
          <w:b/>
          <w:b/>
          <w:sz w:val="28"/>
          <w:szCs w:val="28"/>
        </w:rPr>
      </w:pPr>
      <w:r>
        <w:rPr>
          <w:b/>
          <w:sz w:val="28"/>
          <w:szCs w:val="28"/>
        </w:rPr>
        <w:t>ІІІ. Загальні показники бюджету</w:t>
      </w:r>
    </w:p>
    <w:p>
      <w:pPr>
        <w:pStyle w:val="Normal"/>
        <w:tabs>
          <w:tab w:val="clear" w:pos="706"/>
          <w:tab w:val="left" w:pos="567" w:leader="none"/>
          <w:tab w:val="left" w:pos="1134" w:leader="none"/>
        </w:tabs>
        <w:spacing w:lineRule="auto" w:line="240" w:before="0" w:after="0"/>
        <w:ind w:firstLine="567"/>
        <w:jc w:val="both"/>
        <w:rPr>
          <w:rFonts w:ascii="Times New Roman" w:hAnsi="Times New Roman"/>
          <w:b/>
          <w:b/>
          <w:sz w:val="28"/>
          <w:szCs w:val="28"/>
        </w:rPr>
      </w:pPr>
      <w:r>
        <w:rPr>
          <w:b/>
          <w:sz w:val="28"/>
          <w:szCs w:val="28"/>
        </w:rPr>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Загальні показники Прогнозу на середньостроковий період сформовано на основі стратегічних, програмних документах країни і територіальної громади, положень та показників, визначених на відповідні бюджетні періоди прогнозом, схваленим у попередньому бюджетному періоді, та з урахуванням:</w:t>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-податкового потенціалу громади,</w:t>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-оцінки результативності та ефективності використання бюджетних коштів,</w:t>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 обгрунтованості розподілу фінансового ресурсу за напрямками використання,</w:t>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 збалансованості показників.</w:t>
      </w:r>
    </w:p>
    <w:p>
      <w:pPr>
        <w:pStyle w:val="Normal"/>
        <w:tabs>
          <w:tab w:val="clear" w:pos="706"/>
          <w:tab w:val="left" w:pos="567" w:leader="none"/>
          <w:tab w:val="left" w:pos="1134" w:leader="none"/>
        </w:tabs>
        <w:spacing w:lineRule="auto" w:line="240" w:before="0" w:after="0"/>
        <w:ind w:firstLine="709"/>
        <w:jc w:val="both"/>
        <w:rPr>
          <w:rFonts w:ascii="Times New Roman" w:hAnsi="Times New Roman"/>
          <w:color w:val="000000"/>
          <w:sz w:val="28"/>
          <w:szCs w:val="28"/>
        </w:rPr>
      </w:pPr>
      <w:r>
        <w:rPr>
          <w:color w:val="000000"/>
          <w:sz w:val="28"/>
          <w:szCs w:val="28"/>
        </w:rPr>
        <w:t xml:space="preserve">Обсяг ресурсу бюджету у 2022-2024 роках прогнозується в обсягах </w:t>
      </w:r>
      <w:r>
        <w:rPr>
          <w:color w:val="000000"/>
          <w:sz w:val="28"/>
          <w:szCs w:val="28"/>
          <w:lang w:val="ru-RU"/>
        </w:rPr>
        <w:t>381,9</w:t>
      </w:r>
      <w:r>
        <w:rPr>
          <w:color w:val="000000"/>
          <w:sz w:val="28"/>
          <w:szCs w:val="28"/>
        </w:rPr>
        <w:t xml:space="preserve"> млн грн, </w:t>
      </w:r>
      <w:r>
        <w:rPr>
          <w:color w:val="000000"/>
          <w:sz w:val="28"/>
          <w:szCs w:val="28"/>
          <w:lang w:val="ru-RU"/>
        </w:rPr>
        <w:t>409,7</w:t>
      </w:r>
      <w:r>
        <w:rPr>
          <w:color w:val="000000"/>
          <w:sz w:val="28"/>
          <w:szCs w:val="28"/>
        </w:rPr>
        <w:t xml:space="preserve">  млн грн та  </w:t>
      </w:r>
      <w:r>
        <w:rPr>
          <w:color w:val="000000"/>
          <w:sz w:val="28"/>
          <w:szCs w:val="28"/>
          <w:lang w:val="ru-RU"/>
        </w:rPr>
        <w:t>431,9</w:t>
      </w:r>
      <w:r>
        <w:rPr>
          <w:color w:val="000000"/>
          <w:sz w:val="28"/>
          <w:szCs w:val="28"/>
        </w:rPr>
        <w:t xml:space="preserve">  млн грн відповідно. Загальні показники надходжень до бюджету та загальні граничні показники видатків та надання кредитів з бюджету у розрізі років середньострокового періоду наведені у додатку 1 до прогнозу бюджету.</w:t>
      </w:r>
    </w:p>
    <w:p>
      <w:pPr>
        <w:pStyle w:val="Normal"/>
        <w:tabs>
          <w:tab w:val="clear" w:pos="706"/>
          <w:tab w:val="left" w:pos="567" w:leader="none"/>
          <w:tab w:val="left" w:pos="1134" w:leader="none"/>
        </w:tabs>
        <w:spacing w:lineRule="auto" w:line="240" w:before="0" w:after="0"/>
        <w:ind w:firstLine="709"/>
        <w:jc w:val="both"/>
        <w:rPr>
          <w:rFonts w:ascii="Times New Roman" w:hAnsi="Times New Roman"/>
          <w:sz w:val="28"/>
          <w:szCs w:val="28"/>
        </w:rPr>
      </w:pPr>
      <w:r>
        <w:rPr>
          <w:sz w:val="28"/>
          <w:szCs w:val="28"/>
        </w:rPr>
        <w:t>Виконання прогнозних показників бюджету в середньостроковому періоді дозволить:</w:t>
      </w:r>
    </w:p>
    <w:p>
      <w:pPr>
        <w:pStyle w:val="Normal"/>
        <w:tabs>
          <w:tab w:val="clear" w:pos="706"/>
          <w:tab w:val="left" w:pos="567" w:leader="none"/>
          <w:tab w:val="left" w:pos="1134" w:leader="none"/>
        </w:tabs>
        <w:spacing w:lineRule="auto" w:line="240" w:before="0" w:after="0"/>
        <w:jc w:val="both"/>
        <w:rPr>
          <w:rFonts w:ascii="Times New Roman" w:hAnsi="Times New Roman"/>
          <w:sz w:val="28"/>
          <w:szCs w:val="28"/>
        </w:rPr>
      </w:pPr>
      <w:r>
        <w:rPr>
          <w:sz w:val="28"/>
          <w:szCs w:val="28"/>
        </w:rPr>
        <w:t>- реалізувати цілі державної політики та місцевого розвитку, включаючи покращення якості надання публічних послуг та комфорності проживання жителів громади,</w:t>
      </w:r>
    </w:p>
    <w:p>
      <w:pPr>
        <w:pStyle w:val="Normal"/>
        <w:tabs>
          <w:tab w:val="clear" w:pos="706"/>
          <w:tab w:val="left" w:pos="567" w:leader="none"/>
          <w:tab w:val="left" w:pos="1134" w:leader="none"/>
        </w:tabs>
        <w:spacing w:lineRule="auto" w:line="240" w:before="0" w:after="0"/>
        <w:jc w:val="both"/>
        <w:rPr>
          <w:rFonts w:ascii="Times New Roman" w:hAnsi="Times New Roman"/>
          <w:sz w:val="28"/>
          <w:szCs w:val="28"/>
        </w:rPr>
      </w:pPr>
      <w:r>
        <w:rPr>
          <w:sz w:val="28"/>
          <w:szCs w:val="28"/>
        </w:rPr>
        <w:t>- забезпечити передбачуваність та послідовність бюджетної політики,</w:t>
      </w:r>
    </w:p>
    <w:p>
      <w:pPr>
        <w:pStyle w:val="Normal"/>
        <w:tabs>
          <w:tab w:val="clear" w:pos="706"/>
          <w:tab w:val="left" w:pos="567" w:leader="none"/>
          <w:tab w:val="left" w:pos="1134" w:leader="none"/>
        </w:tabs>
        <w:spacing w:lineRule="auto" w:line="240" w:before="0" w:after="0"/>
        <w:jc w:val="both"/>
        <w:rPr>
          <w:rFonts w:ascii="Times New Roman" w:hAnsi="Times New Roman"/>
          <w:sz w:val="28"/>
          <w:szCs w:val="28"/>
        </w:rPr>
      </w:pPr>
      <w:r>
        <w:rPr>
          <w:sz w:val="28"/>
          <w:szCs w:val="28"/>
        </w:rPr>
        <w:t>- впровадити соціальні стандарти.</w:t>
      </w:r>
    </w:p>
    <w:p>
      <w:pPr>
        <w:pStyle w:val="Normal"/>
        <w:widowControl w:val="false"/>
        <w:tabs>
          <w:tab w:val="clear" w:pos="706"/>
          <w:tab w:val="left" w:pos="567" w:leader="none"/>
          <w:tab w:val="right" w:pos="9355" w:leader="none"/>
        </w:tabs>
        <w:spacing w:lineRule="auto" w:line="240" w:before="0" w:after="0"/>
        <w:jc w:val="both"/>
        <w:rPr>
          <w:rFonts w:ascii="Times New Roman" w:hAnsi="Times New Roman"/>
          <w:sz w:val="28"/>
          <w:szCs w:val="28"/>
        </w:rPr>
      </w:pPr>
      <w:r>
        <w:rPr>
          <w:sz w:val="28"/>
          <w:szCs w:val="28"/>
        </w:rPr>
        <w:t xml:space="preserve">         </w:t>
      </w:r>
      <w:r>
        <w:rPr>
          <w:sz w:val="28"/>
          <w:szCs w:val="28"/>
        </w:rPr>
        <w:t xml:space="preserve">Показники Прогнозу відрізняються від показників, визначених на відповідні бюджетні періоди прогнозом бюджету, схваленим у 2020 році, що обумовлено низкою факторів, а саме зміною </w:t>
      </w:r>
      <w:r>
        <w:rPr>
          <w:sz w:val="28"/>
          <w:szCs w:val="28"/>
          <w:lang w:eastAsia="uk-UA"/>
        </w:rPr>
        <w:t>макропоказників економічного і соціального розвитку України на 2022-2024 роки від основних прогнозних макропоказників економічного і соціального розвитку України на 2021-2023 роки</w:t>
      </w:r>
      <w:r>
        <w:rPr>
          <w:sz w:val="28"/>
          <w:szCs w:val="28"/>
        </w:rPr>
        <w:t>, прийняттям нових місцевих програм та прийняттям нових законодавчих та інших нормативно-правових актів,  що впливають на показники місцевого бюджету у середньостроковому періоді.</w:t>
      </w:r>
    </w:p>
    <w:p>
      <w:pPr>
        <w:pStyle w:val="Normal"/>
        <w:widowControl w:val="false"/>
        <w:tabs>
          <w:tab w:val="clear" w:pos="706"/>
          <w:tab w:val="left" w:pos="567" w:leader="none"/>
          <w:tab w:val="right" w:pos="9355" w:leader="none"/>
        </w:tabs>
        <w:spacing w:lineRule="auto" w:line="240" w:before="0" w:after="0"/>
        <w:jc w:val="both"/>
        <w:rPr>
          <w:rFonts w:ascii="Times New Roman" w:hAnsi="Times New Roman"/>
          <w:sz w:val="28"/>
          <w:szCs w:val="28"/>
        </w:rPr>
      </w:pPr>
      <w:r>
        <w:rPr>
          <w:sz w:val="28"/>
          <w:szCs w:val="28"/>
        </w:rPr>
      </w:r>
    </w:p>
    <w:p>
      <w:pPr>
        <w:pStyle w:val="Normal"/>
        <w:tabs>
          <w:tab w:val="clear" w:pos="706"/>
          <w:tab w:val="left" w:pos="567" w:leader="none"/>
          <w:tab w:val="left" w:pos="1134" w:leader="none"/>
        </w:tabs>
        <w:spacing w:lineRule="auto" w:line="240" w:before="0" w:after="0"/>
        <w:ind w:firstLine="709"/>
        <w:jc w:val="center"/>
        <w:rPr>
          <w:rFonts w:ascii="Times New Roman" w:hAnsi="Times New Roman"/>
          <w:b/>
          <w:b/>
          <w:color w:val="000000"/>
          <w:sz w:val="28"/>
          <w:szCs w:val="28"/>
        </w:rPr>
      </w:pPr>
      <w:r>
        <w:rPr>
          <w:b/>
          <w:color w:val="000000"/>
          <w:sz w:val="28"/>
          <w:szCs w:val="28"/>
        </w:rPr>
        <w:t>ІV. Показники доходів бюджету</w:t>
      </w:r>
    </w:p>
    <w:p>
      <w:pPr>
        <w:pStyle w:val="Normal"/>
        <w:tabs>
          <w:tab w:val="clear" w:pos="706"/>
          <w:tab w:val="left" w:pos="567" w:leader="none"/>
          <w:tab w:val="left" w:pos="1134" w:leader="none"/>
        </w:tabs>
        <w:spacing w:lineRule="auto" w:line="240" w:before="0" w:after="0"/>
        <w:ind w:firstLine="709"/>
        <w:jc w:val="both"/>
        <w:rPr>
          <w:rFonts w:ascii="Times New Roman" w:hAnsi="Times New Roman"/>
          <w:b/>
          <w:b/>
          <w:color w:val="000000"/>
          <w:sz w:val="28"/>
          <w:szCs w:val="28"/>
        </w:rPr>
      </w:pPr>
      <w:r>
        <w:rPr>
          <w:b/>
          <w:color w:val="000000"/>
          <w:sz w:val="28"/>
          <w:szCs w:val="28"/>
        </w:rPr>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Прогноз дохідної частини бюджету розроблено відповідно до норм бюджетно-податкового законодавства, основних прогнозних макропоказників економічного і соціального розвитку України, особливостей податкової політики, передбачених Бюджетної декларацією та Стратегією розвитку м.Покров, положень нормативно-правових актів міської ради про встановлення місцевих податків та зборів.</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Стратегічними цілями податкової політики в середньостроковому періоді є:</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підвищення якості  адміністрування місцевих податків та зборів,</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ефективне акумулювання ресурсів, необхідних для виконання міською радою функцій,</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сприяння економічному та інвестиційному розвитку громади,</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 активізація податкового потенціалу громади.</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lang w:val="ru-RU"/>
        </w:rPr>
      </w:pPr>
      <w:r>
        <w:rPr>
          <w:color w:val="000000"/>
          <w:sz w:val="28"/>
          <w:szCs w:val="28"/>
        </w:rPr>
        <w:t>Прогнозні показники доходів бюджету сформовані  з урахуванням існуючої податкової бази та реалізації пріоритетних завдань із розширення її потенціалу. Показники доходів бюджету наведені в додатку 2 до Прогнозу бюджету.Так, обсяг доходів бюджету у 2022 р –</w:t>
      </w:r>
      <w:r>
        <w:rPr>
          <w:color w:val="000000"/>
          <w:sz w:val="28"/>
          <w:szCs w:val="28"/>
          <w:lang w:val="ru-RU"/>
        </w:rPr>
        <w:t>381,9</w:t>
      </w:r>
      <w:r>
        <w:rPr>
          <w:color w:val="000000"/>
          <w:sz w:val="28"/>
          <w:szCs w:val="28"/>
        </w:rPr>
        <w:t xml:space="preserve"> млн грн, у 2023 р – </w:t>
      </w:r>
      <w:r>
        <w:rPr>
          <w:color w:val="000000"/>
          <w:sz w:val="28"/>
          <w:szCs w:val="28"/>
          <w:lang w:val="ru-RU"/>
        </w:rPr>
        <w:t>409,7</w:t>
      </w:r>
      <w:r>
        <w:rPr>
          <w:color w:val="000000"/>
          <w:sz w:val="28"/>
          <w:szCs w:val="28"/>
        </w:rPr>
        <w:t xml:space="preserve"> млн грн</w:t>
      </w:r>
      <w:r>
        <w:rPr>
          <w:color w:val="000000"/>
          <w:sz w:val="28"/>
          <w:szCs w:val="28"/>
          <w:lang w:val="ru-RU"/>
        </w:rPr>
        <w:t>, у 2024 р – 431,9 млн грн.</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rPr>
        <w:t>В структурі доходів, які акумулюються на території громади, найбільшу питому вагу мають:</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lang w:val="ru-RU"/>
        </w:rPr>
        <w:t xml:space="preserve">- </w:t>
      </w:r>
      <w:r>
        <w:rPr>
          <w:color w:val="000000"/>
          <w:sz w:val="28"/>
          <w:szCs w:val="28"/>
        </w:rPr>
        <w:t>податок на доходи фізичних осіб -</w:t>
      </w:r>
      <w:r>
        <w:rPr>
          <w:color w:val="000000"/>
          <w:sz w:val="28"/>
          <w:szCs w:val="28"/>
          <w:lang w:val="ru-RU"/>
        </w:rPr>
        <w:t>57,0</w:t>
      </w:r>
      <w:r>
        <w:rPr>
          <w:color w:val="000000"/>
          <w:sz w:val="28"/>
          <w:szCs w:val="28"/>
        </w:rPr>
        <w:t xml:space="preserve"> %,                   </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lang w:val="ru-RU"/>
        </w:rPr>
      </w:pPr>
      <w:r>
        <w:rPr>
          <w:color w:val="000000"/>
          <w:sz w:val="28"/>
          <w:szCs w:val="28"/>
        </w:rPr>
        <w:t>- плата  за землю – 28,</w:t>
      </w:r>
      <w:r>
        <w:rPr>
          <w:color w:val="000000"/>
          <w:sz w:val="28"/>
          <w:szCs w:val="28"/>
          <w:lang w:val="ru-RU"/>
        </w:rPr>
        <w:t>9</w:t>
      </w:r>
      <w:r>
        <w:rPr>
          <w:color w:val="000000"/>
          <w:sz w:val="28"/>
          <w:szCs w:val="28"/>
        </w:rPr>
        <w:t xml:space="preserve"> %</w:t>
      </w:r>
      <w:r>
        <w:rPr>
          <w:color w:val="000000"/>
          <w:sz w:val="28"/>
          <w:szCs w:val="28"/>
          <w:lang w:val="ru-RU"/>
        </w:rPr>
        <w:t>,</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lang w:val="ru-RU"/>
        </w:rPr>
      </w:pPr>
      <w:r>
        <w:rPr>
          <w:color w:val="000000"/>
          <w:sz w:val="28"/>
          <w:szCs w:val="28"/>
        </w:rPr>
        <w:t xml:space="preserve">- єдиний податок – </w:t>
      </w:r>
      <w:r>
        <w:rPr>
          <w:color w:val="000000"/>
          <w:sz w:val="28"/>
          <w:szCs w:val="28"/>
          <w:lang w:val="ru-RU"/>
        </w:rPr>
        <w:t>7,4</w:t>
      </w:r>
      <w:r>
        <w:rPr>
          <w:color w:val="000000"/>
          <w:sz w:val="28"/>
          <w:szCs w:val="28"/>
        </w:rPr>
        <w:t xml:space="preserve"> %</w:t>
      </w:r>
      <w:r>
        <w:rPr>
          <w:color w:val="000000"/>
          <w:sz w:val="28"/>
          <w:szCs w:val="28"/>
          <w:lang w:val="ru-RU"/>
        </w:rPr>
        <w:t>.</w:t>
      </w:r>
    </w:p>
    <w:p>
      <w:pPr>
        <w:pStyle w:val="Normal"/>
        <w:tabs>
          <w:tab w:val="clear" w:pos="706"/>
          <w:tab w:val="left" w:pos="567" w:leader="none"/>
          <w:tab w:val="left" w:pos="709" w:leader="none"/>
          <w:tab w:val="left" w:pos="1134" w:leader="none"/>
        </w:tabs>
        <w:spacing w:lineRule="auto" w:line="240" w:before="0" w:after="0"/>
        <w:ind w:firstLine="567"/>
        <w:jc w:val="both"/>
        <w:rPr>
          <w:rFonts w:ascii="Times New Roman" w:hAnsi="Times New Roman"/>
          <w:color w:val="000000"/>
          <w:sz w:val="28"/>
          <w:szCs w:val="28"/>
        </w:rPr>
      </w:pPr>
      <w:r>
        <w:rPr>
          <w:color w:val="000000"/>
          <w:sz w:val="28"/>
          <w:szCs w:val="28"/>
          <w:lang w:val="ru-RU"/>
        </w:rPr>
        <w:t>П</w:t>
      </w:r>
      <w:r>
        <w:rPr>
          <w:color w:val="000000"/>
          <w:sz w:val="28"/>
          <w:szCs w:val="28"/>
        </w:rPr>
        <w:t>итом</w:t>
      </w:r>
      <w:r>
        <w:rPr>
          <w:color w:val="000000"/>
          <w:sz w:val="28"/>
          <w:szCs w:val="28"/>
          <w:lang w:val="ru-RU"/>
        </w:rPr>
        <w:t>а</w:t>
      </w:r>
      <w:r>
        <w:rPr>
          <w:color w:val="000000"/>
          <w:sz w:val="28"/>
          <w:szCs w:val="28"/>
        </w:rPr>
        <w:t xml:space="preserve"> ваг</w:t>
      </w:r>
      <w:r>
        <w:rPr>
          <w:color w:val="000000"/>
          <w:sz w:val="28"/>
          <w:szCs w:val="28"/>
          <w:lang w:val="ru-RU"/>
        </w:rPr>
        <w:t>а</w:t>
      </w:r>
      <w:r>
        <w:rPr>
          <w:color w:val="000000"/>
          <w:sz w:val="28"/>
          <w:szCs w:val="28"/>
        </w:rPr>
        <w:t xml:space="preserve"> міжбюджетн</w:t>
      </w:r>
      <w:r>
        <w:rPr>
          <w:color w:val="000000"/>
          <w:sz w:val="28"/>
          <w:szCs w:val="28"/>
          <w:lang w:val="ru-RU"/>
        </w:rPr>
        <w:t>их</w:t>
      </w:r>
      <w:r>
        <w:rPr>
          <w:color w:val="000000"/>
          <w:sz w:val="28"/>
          <w:szCs w:val="28"/>
        </w:rPr>
        <w:t xml:space="preserve"> трансфертів з державного бюджету та з інших місцевих бюджетів у структурі доходів бюджету складають </w:t>
      </w:r>
      <w:r>
        <w:rPr>
          <w:color w:val="000000"/>
          <w:sz w:val="28"/>
          <w:szCs w:val="28"/>
          <w:lang w:val="ru-RU"/>
        </w:rPr>
        <w:t>22,8</w:t>
      </w:r>
      <w:r>
        <w:rPr>
          <w:color w:val="000000"/>
          <w:sz w:val="28"/>
          <w:szCs w:val="28"/>
        </w:rPr>
        <w:t xml:space="preserve"> % у середньостроковому періоді.</w:t>
      </w:r>
    </w:p>
    <w:p>
      <w:pPr>
        <w:pStyle w:val="Normal"/>
        <w:tabs>
          <w:tab w:val="clear" w:pos="706"/>
          <w:tab w:val="left" w:pos="567" w:leader="none"/>
          <w:tab w:val="left" w:pos="709" w:leader="none"/>
          <w:tab w:val="left" w:pos="1134" w:leader="none"/>
        </w:tabs>
        <w:spacing w:lineRule="auto" w:line="240" w:before="0" w:after="0"/>
        <w:jc w:val="both"/>
        <w:rPr>
          <w:rFonts w:ascii="Times New Roman" w:hAnsi="Times New Roman"/>
          <w:color w:val="000000"/>
          <w:sz w:val="28"/>
          <w:szCs w:val="28"/>
          <w:lang w:val="ru-RU"/>
        </w:rPr>
      </w:pPr>
      <w:r>
        <w:rPr>
          <w:color w:val="000000"/>
          <w:sz w:val="28"/>
          <w:szCs w:val="28"/>
        </w:rPr>
        <w:t xml:space="preserve">        </w:t>
      </w:r>
      <w:r>
        <w:rPr>
          <w:color w:val="000000"/>
          <w:sz w:val="28"/>
          <w:szCs w:val="28"/>
        </w:rPr>
        <w:t xml:space="preserve">Загальний обсяг трансфертів бюджету складає  у 2022 р. – </w:t>
      </w:r>
      <w:r>
        <w:rPr>
          <w:color w:val="000000"/>
          <w:sz w:val="28"/>
          <w:szCs w:val="28"/>
          <w:lang w:val="ru-RU"/>
        </w:rPr>
        <w:t>141,2</w:t>
      </w:r>
      <w:r>
        <w:rPr>
          <w:color w:val="000000"/>
          <w:sz w:val="28"/>
          <w:szCs w:val="28"/>
        </w:rPr>
        <w:t xml:space="preserve"> млн грн, у 2023 р. – </w:t>
      </w:r>
      <w:r>
        <w:rPr>
          <w:color w:val="000000"/>
          <w:sz w:val="28"/>
          <w:szCs w:val="28"/>
          <w:lang w:val="ru-RU"/>
        </w:rPr>
        <w:t>93,9</w:t>
      </w:r>
      <w:r>
        <w:rPr>
          <w:color w:val="000000"/>
          <w:sz w:val="28"/>
          <w:szCs w:val="28"/>
        </w:rPr>
        <w:t xml:space="preserve"> млн грн</w:t>
      </w:r>
      <w:r>
        <w:rPr>
          <w:color w:val="000000"/>
          <w:sz w:val="28"/>
          <w:szCs w:val="28"/>
          <w:lang w:val="ru-RU"/>
        </w:rPr>
        <w:t>, у 2024 р.- 100,9 млн грн.</w:t>
      </w:r>
    </w:p>
    <w:p>
      <w:pPr>
        <w:pStyle w:val="Normal"/>
        <w:tabs>
          <w:tab w:val="clear" w:pos="706"/>
          <w:tab w:val="left" w:pos="567" w:leader="none"/>
          <w:tab w:val="left" w:pos="709" w:leader="none"/>
          <w:tab w:val="left" w:pos="1134" w:leader="none"/>
        </w:tabs>
        <w:spacing w:lineRule="auto" w:line="240" w:before="0" w:after="0"/>
        <w:jc w:val="both"/>
        <w:rPr>
          <w:rFonts w:ascii="Times New Roman" w:hAnsi="Times New Roman"/>
          <w:color w:val="000000"/>
          <w:sz w:val="28"/>
          <w:szCs w:val="28"/>
        </w:rPr>
      </w:pPr>
      <w:r>
        <w:rPr>
          <w:b/>
          <w:color w:val="000000"/>
          <w:sz w:val="28"/>
          <w:szCs w:val="28"/>
        </w:rPr>
        <w:t xml:space="preserve">       </w:t>
      </w:r>
      <w:r>
        <w:rPr>
          <w:color w:val="000000"/>
          <w:sz w:val="28"/>
          <w:szCs w:val="28"/>
        </w:rPr>
        <w:t xml:space="preserve"> </w:t>
      </w:r>
      <w:r>
        <w:rPr>
          <w:color w:val="000000"/>
          <w:sz w:val="28"/>
          <w:szCs w:val="28"/>
        </w:rPr>
        <w:t>Основними трансфертами з державного бюджету є освітня субвенція (</w:t>
      </w:r>
      <w:r>
        <w:rPr>
          <w:color w:val="000000"/>
          <w:sz w:val="28"/>
          <w:szCs w:val="28"/>
          <w:lang w:val="ru-RU"/>
        </w:rPr>
        <w:t>95,0</w:t>
      </w:r>
      <w:r>
        <w:rPr>
          <w:color w:val="000000"/>
          <w:sz w:val="28"/>
          <w:szCs w:val="28"/>
        </w:rPr>
        <w:t xml:space="preserve"> %), базова дотація (5,</w:t>
      </w:r>
      <w:r>
        <w:rPr>
          <w:color w:val="000000"/>
          <w:sz w:val="28"/>
          <w:szCs w:val="28"/>
          <w:lang w:val="ru-RU"/>
        </w:rPr>
        <w:t>0</w:t>
      </w:r>
      <w:r>
        <w:rPr>
          <w:color w:val="000000"/>
          <w:sz w:val="28"/>
          <w:szCs w:val="28"/>
        </w:rPr>
        <w:t>%).</w:t>
      </w:r>
    </w:p>
    <w:p>
      <w:pPr>
        <w:pStyle w:val="Normal"/>
        <w:tabs>
          <w:tab w:val="clear" w:pos="706"/>
          <w:tab w:val="left" w:pos="567" w:leader="none"/>
          <w:tab w:val="left" w:pos="709" w:leader="none"/>
          <w:tab w:val="left" w:pos="1134" w:leader="none"/>
        </w:tabs>
        <w:spacing w:lineRule="auto" w:line="240" w:before="0" w:after="0"/>
        <w:jc w:val="both"/>
        <w:rPr>
          <w:rFonts w:ascii="Times New Roman" w:hAnsi="Times New Roman"/>
          <w:color w:val="000000"/>
          <w:sz w:val="28"/>
          <w:szCs w:val="28"/>
        </w:rPr>
      </w:pPr>
      <w:r>
        <w:rPr>
          <w:color w:val="FF0000"/>
          <w:sz w:val="28"/>
          <w:szCs w:val="28"/>
        </w:rPr>
        <w:t xml:space="preserve">        </w:t>
      </w:r>
      <w:r>
        <w:rPr>
          <w:color w:val="000000"/>
          <w:sz w:val="28"/>
          <w:szCs w:val="28"/>
        </w:rPr>
        <w:t>Показники трансфертів з інших місцевих бюджетів та їх характеристика наведено у додатку 11 до прогнозу міського бюджету.</w:t>
      </w:r>
    </w:p>
    <w:p>
      <w:pPr>
        <w:pStyle w:val="Normal"/>
        <w:tabs>
          <w:tab w:val="clear" w:pos="706"/>
          <w:tab w:val="left" w:pos="567" w:leader="none"/>
          <w:tab w:val="left" w:pos="709" w:leader="none"/>
          <w:tab w:val="left" w:pos="1134" w:leader="none"/>
        </w:tabs>
        <w:spacing w:lineRule="auto" w:line="240" w:before="0" w:after="0"/>
        <w:ind w:firstLine="709"/>
        <w:jc w:val="both"/>
        <w:rPr>
          <w:rFonts w:ascii="Times New Roman" w:hAnsi="Times New Roman"/>
          <w:b/>
          <w:b/>
          <w:color w:val="000000"/>
          <w:sz w:val="28"/>
          <w:szCs w:val="28"/>
        </w:rPr>
      </w:pPr>
      <w:r>
        <w:rPr>
          <w:b/>
          <w:color w:val="000000"/>
          <w:sz w:val="28"/>
          <w:szCs w:val="28"/>
        </w:rPr>
      </w:r>
    </w:p>
    <w:p>
      <w:pPr>
        <w:pStyle w:val="Normal"/>
        <w:tabs>
          <w:tab w:val="clear" w:pos="706"/>
          <w:tab w:val="left" w:pos="567" w:leader="none"/>
          <w:tab w:val="left" w:pos="709" w:leader="none"/>
          <w:tab w:val="left" w:pos="1134" w:leader="none"/>
        </w:tabs>
        <w:spacing w:lineRule="auto" w:line="240" w:before="0" w:after="0"/>
        <w:ind w:firstLine="709"/>
        <w:jc w:val="center"/>
        <w:rPr>
          <w:rFonts w:ascii="Times New Roman" w:hAnsi="Times New Roman"/>
          <w:b/>
          <w:b/>
          <w:color w:val="000000"/>
          <w:sz w:val="28"/>
          <w:szCs w:val="28"/>
        </w:rPr>
      </w:pPr>
      <w:r>
        <w:rPr>
          <w:b/>
          <w:color w:val="000000"/>
          <w:sz w:val="28"/>
          <w:szCs w:val="28"/>
        </w:rPr>
        <w:t>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і надання місцевих гарантій</w:t>
      </w:r>
    </w:p>
    <w:p>
      <w:pPr>
        <w:pStyle w:val="Normal"/>
        <w:tabs>
          <w:tab w:val="clear" w:pos="706"/>
          <w:tab w:val="left" w:pos="567" w:leader="none"/>
          <w:tab w:val="left" w:pos="709" w:leader="none"/>
          <w:tab w:val="left" w:pos="1134" w:leader="none"/>
        </w:tabs>
        <w:spacing w:lineRule="auto" w:line="240" w:before="0" w:after="0"/>
        <w:ind w:firstLine="709"/>
        <w:jc w:val="both"/>
        <w:rPr>
          <w:rFonts w:ascii="Times New Roman" w:hAnsi="Times New Roman"/>
          <w:b/>
          <w:b/>
          <w:color w:val="FF0000"/>
          <w:sz w:val="28"/>
          <w:szCs w:val="28"/>
        </w:rPr>
      </w:pPr>
      <w:r>
        <w:rPr>
          <w:b/>
          <w:color w:val="FF0000"/>
          <w:sz w:val="28"/>
          <w:szCs w:val="28"/>
        </w:rPr>
      </w:r>
    </w:p>
    <w:p>
      <w:pPr>
        <w:pStyle w:val="Normal"/>
        <w:tabs>
          <w:tab w:val="clear" w:pos="706"/>
          <w:tab w:val="left" w:pos="567" w:leader="none"/>
          <w:tab w:val="left" w:pos="709" w:leader="none"/>
        </w:tabs>
        <w:spacing w:lineRule="auto" w:line="240" w:before="0" w:after="0"/>
        <w:ind w:firstLine="567"/>
        <w:jc w:val="both"/>
        <w:rPr>
          <w:rFonts w:ascii="Times New Roman" w:hAnsi="Times New Roman"/>
          <w:color w:val="000000"/>
          <w:sz w:val="28"/>
          <w:szCs w:val="28"/>
        </w:rPr>
      </w:pPr>
      <w:r>
        <w:rPr>
          <w:color w:val="000000"/>
          <w:sz w:val="28"/>
          <w:szCs w:val="28"/>
        </w:rPr>
        <w:tab/>
        <w:t>Показники фінансування та  місцевого боргу в бюджеті Покровської міської  територіальної громади на 202</w:t>
      </w:r>
      <w:r>
        <w:rPr>
          <w:color w:val="000000"/>
          <w:sz w:val="28"/>
          <w:szCs w:val="28"/>
          <w:lang w:val="ru-RU"/>
        </w:rPr>
        <w:t>2</w:t>
      </w:r>
      <w:r>
        <w:rPr>
          <w:color w:val="000000"/>
          <w:sz w:val="28"/>
          <w:szCs w:val="28"/>
        </w:rPr>
        <w:t>-202</w:t>
      </w:r>
      <w:r>
        <w:rPr>
          <w:color w:val="000000"/>
          <w:sz w:val="28"/>
          <w:szCs w:val="28"/>
          <w:lang w:val="ru-RU"/>
        </w:rPr>
        <w:t xml:space="preserve">4 </w:t>
      </w:r>
      <w:r>
        <w:rPr>
          <w:color w:val="000000"/>
          <w:sz w:val="28"/>
          <w:szCs w:val="28"/>
        </w:rPr>
        <w:t>ро</w:t>
      </w:r>
      <w:r>
        <w:rPr>
          <w:color w:val="000000"/>
          <w:sz w:val="28"/>
          <w:szCs w:val="28"/>
          <w:lang w:val="ru-RU"/>
        </w:rPr>
        <w:t>ки</w:t>
      </w:r>
      <w:r>
        <w:rPr>
          <w:color w:val="000000"/>
          <w:sz w:val="28"/>
          <w:szCs w:val="28"/>
        </w:rPr>
        <w:t xml:space="preserve"> наведено у додатках 3, 4 та 5 до цього прогнозу.</w:t>
      </w:r>
    </w:p>
    <w:p>
      <w:pPr>
        <w:pStyle w:val="Normal"/>
        <w:tabs>
          <w:tab w:val="clear" w:pos="706"/>
          <w:tab w:val="left" w:pos="567" w:leader="none"/>
          <w:tab w:val="left" w:pos="709" w:leader="none"/>
        </w:tabs>
        <w:spacing w:lineRule="auto" w:line="240" w:before="0" w:after="0"/>
        <w:ind w:firstLine="567"/>
        <w:jc w:val="both"/>
        <w:rPr>
          <w:rFonts w:ascii="Times New Roman" w:hAnsi="Times New Roman"/>
          <w:color w:val="000000"/>
          <w:sz w:val="28"/>
          <w:szCs w:val="28"/>
        </w:rPr>
      </w:pPr>
      <w:r>
        <w:rPr>
          <w:color w:val="000000"/>
          <w:sz w:val="28"/>
          <w:szCs w:val="28"/>
        </w:rPr>
        <w:t xml:space="preserve">До місцевого боргу відноситься  погашення позик від міжнародної фінансової організації Північна Екологічна Корпорація НЕФКО, отриманих у 2018 р. та у 2020 р. для реалізації проектів з підвищення енергоефективності, а саме на капітальний ремонт (термомодернізацію) КЗДО №11 «Сонечко» та капітальний ремонт мережі вуличного освітлення м.Покров. </w:t>
      </w:r>
    </w:p>
    <w:p>
      <w:pPr>
        <w:pStyle w:val="Normal"/>
        <w:tabs>
          <w:tab w:val="clear" w:pos="706"/>
          <w:tab w:val="left" w:pos="567" w:leader="none"/>
          <w:tab w:val="left" w:pos="709" w:leader="none"/>
        </w:tabs>
        <w:spacing w:lineRule="auto" w:line="240" w:before="0" w:after="0"/>
        <w:ind w:firstLine="567"/>
        <w:jc w:val="both"/>
        <w:rPr>
          <w:rFonts w:ascii="Times New Roman" w:hAnsi="Times New Roman"/>
          <w:color w:val="000000"/>
          <w:sz w:val="28"/>
          <w:szCs w:val="28"/>
        </w:rPr>
      </w:pPr>
      <w:r>
        <w:rPr>
          <w:color w:val="000000"/>
          <w:sz w:val="28"/>
          <w:szCs w:val="28"/>
        </w:rPr>
        <w:t>Спроможність міського бюджету забезпечити своєчасне погашення місцевого боргу характеризується такими даними:</w:t>
      </w:r>
    </w:p>
    <w:p>
      <w:pPr>
        <w:pStyle w:val="Normal"/>
        <w:tabs>
          <w:tab w:val="clear" w:pos="706"/>
          <w:tab w:val="left" w:pos="567" w:leader="none"/>
          <w:tab w:val="left" w:pos="709" w:leader="none"/>
        </w:tabs>
        <w:spacing w:lineRule="auto" w:line="240" w:before="0" w:after="0"/>
        <w:jc w:val="both"/>
        <w:rPr>
          <w:rFonts w:ascii="Times New Roman" w:hAnsi="Times New Roman"/>
          <w:color w:val="000000"/>
          <w:sz w:val="28"/>
          <w:szCs w:val="28"/>
        </w:rPr>
      </w:pPr>
      <w:r>
        <w:rPr>
          <w:color w:val="000000"/>
          <w:sz w:val="28"/>
          <w:szCs w:val="28"/>
        </w:rPr>
        <w:t xml:space="preserve">        </w:t>
      </w:r>
      <w:r>
        <w:rPr>
          <w:color w:val="000000"/>
          <w:sz w:val="28"/>
          <w:szCs w:val="28"/>
        </w:rPr>
        <w:t>-співвідношення загального обсягу місцевого боргу та середньорічного  прогнозного  обсягу надходжень бюджету розвитку (без урахування обсягу місцевих запозичень та капітальних транфертів з інших бюджетів) не перевищує граничний показник,</w:t>
      </w:r>
    </w:p>
    <w:p>
      <w:pPr>
        <w:pStyle w:val="Normal"/>
        <w:tabs>
          <w:tab w:val="clear" w:pos="706"/>
          <w:tab w:val="left" w:pos="567" w:leader="none"/>
          <w:tab w:val="left" w:pos="709" w:leader="none"/>
        </w:tabs>
        <w:spacing w:lineRule="auto" w:line="240" w:before="0" w:after="0"/>
        <w:jc w:val="both"/>
        <w:rPr>
          <w:rFonts w:ascii="Times New Roman" w:hAnsi="Times New Roman"/>
          <w:color w:val="000000"/>
          <w:sz w:val="28"/>
          <w:szCs w:val="28"/>
        </w:rPr>
      </w:pPr>
      <w:r>
        <w:rPr>
          <w:color w:val="FF0000"/>
          <w:sz w:val="28"/>
          <w:szCs w:val="28"/>
        </w:rPr>
        <w:t xml:space="preserve">         </w:t>
      </w:r>
      <w:r>
        <w:rPr>
          <w:color w:val="000000"/>
          <w:sz w:val="28"/>
          <w:szCs w:val="28"/>
        </w:rPr>
        <w:t>- питома вага видатків на обслуговування місцевого боргу в обсязі видатків загального фонду бюджету (без урахування реверсної дотації та субвенцій, крім субвенцій передбачених пунктами 6-8 частини першої статті 97 Бюджетного кодексу України) не перевищує граничний показник.</w:t>
      </w:r>
    </w:p>
    <w:p>
      <w:pPr>
        <w:pStyle w:val="Normal"/>
        <w:tabs>
          <w:tab w:val="clear" w:pos="706"/>
          <w:tab w:val="left" w:pos="567" w:leader="none"/>
        </w:tabs>
        <w:spacing w:lineRule="auto" w:line="240" w:before="0" w:after="0"/>
        <w:jc w:val="center"/>
        <w:rPr>
          <w:rFonts w:ascii="Times New Roman" w:hAnsi="Times New Roman"/>
          <w:color w:val="FF0000"/>
          <w:sz w:val="32"/>
          <w:szCs w:val="32"/>
        </w:rPr>
      </w:pPr>
      <w:r>
        <w:rPr>
          <w:color w:val="FF0000"/>
          <w:sz w:val="32"/>
          <w:szCs w:val="32"/>
        </w:rPr>
      </w:r>
    </w:p>
    <w:p>
      <w:pPr>
        <w:pStyle w:val="Normal"/>
        <w:tabs>
          <w:tab w:val="clear" w:pos="706"/>
          <w:tab w:val="left" w:pos="567" w:leader="none"/>
        </w:tabs>
        <w:spacing w:lineRule="auto" w:line="240" w:before="0" w:after="0"/>
        <w:jc w:val="center"/>
        <w:rPr>
          <w:rFonts w:ascii="Times New Roman" w:hAnsi="Times New Roman"/>
          <w:b/>
          <w:b/>
          <w:sz w:val="28"/>
          <w:szCs w:val="28"/>
        </w:rPr>
      </w:pPr>
      <w:r>
        <w:rPr>
          <w:b/>
          <w:sz w:val="28"/>
          <w:szCs w:val="28"/>
          <w:lang w:val="en-US"/>
        </w:rPr>
        <w:t>VI</w:t>
      </w:r>
      <w:r>
        <w:rPr>
          <w:b/>
          <w:sz w:val="28"/>
          <w:szCs w:val="28"/>
        </w:rPr>
        <w:t>. Показники видатків бюджету та надання кредитів з бюджету</w:t>
      </w:r>
    </w:p>
    <w:p>
      <w:pPr>
        <w:pStyle w:val="Normal"/>
        <w:tabs>
          <w:tab w:val="clear" w:pos="706"/>
          <w:tab w:val="left" w:pos="567" w:leader="none"/>
        </w:tabs>
        <w:spacing w:lineRule="auto" w:line="240" w:before="0" w:after="0"/>
        <w:jc w:val="center"/>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Прогноз видаткової частини бюджету розроблено відповідно до положень бюджетно-галузевого законодавства, основних прогнозних макропоказників економічного і соціального розвитку України, пріоритетів бюджетної політики, передбачених Бюджетною декларацією та стратегією розвитку Покровської громади, розрахованих прогнозних показників дохідної частини бюджету  та з урахуванням особливостей реформ, які впроваджуються у відповідних галузях.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На прогнозні показники видатків мають вплив зростання розмірів соціальних гарантій (мінімальної заробітної плати, прожиткового мінімуму тощо), а також впровадження реформ у сфері медицини, соціального захисту, освіти.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Основною метою розподілу коштів бюджету є забезпечення надання якісних публічних послуг та підвищення життєвого рівня населення громади.  Для її досягнення передбачено виконання завдань у кожній сфері.</w:t>
      </w:r>
    </w:p>
    <w:p>
      <w:pPr>
        <w:pStyle w:val="Normal"/>
        <w:tabs>
          <w:tab w:val="clear" w:pos="706"/>
          <w:tab w:val="left" w:pos="567" w:leader="none"/>
        </w:tabs>
        <w:spacing w:lineRule="auto" w:line="240" w:before="0" w:after="0"/>
        <w:ind w:firstLine="567"/>
        <w:rPr>
          <w:rFonts w:ascii="Times New Roman" w:hAnsi="Times New Roman"/>
          <w:b/>
          <w:b/>
          <w:sz w:val="28"/>
          <w:szCs w:val="28"/>
        </w:rPr>
      </w:pPr>
      <w:r>
        <w:rPr>
          <w:b/>
          <w:sz w:val="28"/>
          <w:szCs w:val="28"/>
        </w:rPr>
        <w:t>Органи місцевого самоврядування</w:t>
      </w:r>
    </w:p>
    <w:p>
      <w:pPr>
        <w:pStyle w:val="Normal"/>
        <w:tabs>
          <w:tab w:val="clear" w:pos="706"/>
          <w:tab w:val="left" w:pos="567" w:leader="none"/>
        </w:tabs>
        <w:spacing w:lineRule="auto" w:line="240" w:before="0" w:after="0"/>
        <w:ind w:firstLine="567"/>
        <w:rPr>
          <w:rFonts w:ascii="Times New Roman" w:hAnsi="Times New Roman"/>
          <w:sz w:val="28"/>
          <w:szCs w:val="28"/>
          <w:lang w:val="ru-RU"/>
        </w:rPr>
      </w:pPr>
      <w:r>
        <w:rPr>
          <w:sz w:val="28"/>
          <w:szCs w:val="28"/>
        </w:rPr>
        <w:t>Пріоритетним завданням органів місцевого самоврядування є забезпечення здійснення повноважень, наданих Конституцією України, Законом України «Про місцеве самоврядування в Україні» та іншими нормативно-правовими актами.</w:t>
      </w:r>
    </w:p>
    <w:p>
      <w:pPr>
        <w:pStyle w:val="Normal"/>
        <w:tabs>
          <w:tab w:val="clear" w:pos="706"/>
          <w:tab w:val="left" w:pos="567" w:leader="none"/>
        </w:tabs>
        <w:spacing w:lineRule="auto" w:line="240" w:before="0" w:after="0"/>
        <w:ind w:firstLine="567"/>
        <w:rPr>
          <w:rFonts w:ascii="Times New Roman" w:hAnsi="Times New Roman"/>
          <w:sz w:val="28"/>
          <w:szCs w:val="28"/>
        </w:rPr>
      </w:pPr>
      <w:r>
        <w:rPr>
          <w:sz w:val="28"/>
          <w:szCs w:val="28"/>
        </w:rPr>
        <w:t xml:space="preserve"> </w:t>
      </w:r>
      <w:r>
        <w:rPr>
          <w:sz w:val="28"/>
          <w:szCs w:val="28"/>
        </w:rPr>
        <w:t>У 202</w:t>
      </w:r>
      <w:r>
        <w:rPr>
          <w:sz w:val="28"/>
          <w:szCs w:val="28"/>
          <w:lang w:val="ru-RU"/>
        </w:rPr>
        <w:t>2</w:t>
      </w:r>
      <w:r>
        <w:rPr>
          <w:sz w:val="28"/>
          <w:szCs w:val="28"/>
        </w:rPr>
        <w:t>- 202</w:t>
      </w:r>
      <w:r>
        <w:rPr>
          <w:sz w:val="28"/>
          <w:szCs w:val="28"/>
          <w:lang w:val="ru-RU"/>
        </w:rPr>
        <w:t>4</w:t>
      </w:r>
      <w:r>
        <w:rPr>
          <w:sz w:val="28"/>
          <w:szCs w:val="28"/>
        </w:rPr>
        <w:t xml:space="preserve"> роках планується здійснювати такі заходи:</w:t>
      </w:r>
    </w:p>
    <w:p>
      <w:pPr>
        <w:pStyle w:val="Normal"/>
        <w:tabs>
          <w:tab w:val="clear" w:pos="706"/>
          <w:tab w:val="left" w:pos="567" w:leader="none"/>
        </w:tabs>
        <w:spacing w:lineRule="auto" w:line="240" w:before="0" w:after="0"/>
        <w:ind w:firstLine="567"/>
        <w:rPr>
          <w:rFonts w:ascii="Times New Roman" w:hAnsi="Times New Roman"/>
          <w:sz w:val="28"/>
          <w:szCs w:val="28"/>
        </w:rPr>
      </w:pPr>
      <w:r>
        <w:rPr>
          <w:sz w:val="28"/>
          <w:szCs w:val="28"/>
        </w:rPr>
        <w:t xml:space="preserve">    </w:t>
      </w:r>
      <w:r>
        <w:rPr>
          <w:sz w:val="28"/>
          <w:szCs w:val="28"/>
        </w:rPr>
        <w:t xml:space="preserve">- забезпечення </w:t>
      </w:r>
      <w:r>
        <w:rPr>
          <w:sz w:val="28"/>
          <w:szCs w:val="28"/>
          <w:lang w:val="ru-RU"/>
        </w:rPr>
        <w:t>принципу прозорості</w:t>
      </w:r>
      <w:r>
        <w:rPr>
          <w:sz w:val="28"/>
          <w:szCs w:val="28"/>
        </w:rPr>
        <w:t xml:space="preserve"> у відповідній сфері державної політики;</w:t>
      </w:r>
    </w:p>
    <w:p>
      <w:pPr>
        <w:pStyle w:val="Normal"/>
        <w:tabs>
          <w:tab w:val="clear" w:pos="706"/>
          <w:tab w:val="left" w:pos="567" w:leader="none"/>
        </w:tabs>
        <w:spacing w:lineRule="auto" w:line="240" w:before="0" w:after="0"/>
        <w:ind w:firstLine="567"/>
        <w:rPr>
          <w:rFonts w:ascii="Times New Roman" w:hAnsi="Times New Roman"/>
          <w:sz w:val="28"/>
          <w:szCs w:val="28"/>
        </w:rPr>
      </w:pPr>
      <w:r>
        <w:rPr>
          <w:sz w:val="28"/>
          <w:szCs w:val="28"/>
        </w:rPr>
        <w:t xml:space="preserve">    </w:t>
      </w:r>
      <w:r>
        <w:rPr>
          <w:sz w:val="28"/>
          <w:szCs w:val="28"/>
        </w:rPr>
        <w:t>- організаційне, інформаційно-аналітичне та матеріально-технічне забезпечення діяльності міської ради;</w:t>
      </w:r>
    </w:p>
    <w:p>
      <w:pPr>
        <w:pStyle w:val="Normal"/>
        <w:tabs>
          <w:tab w:val="clear" w:pos="706"/>
          <w:tab w:val="left" w:pos="567" w:leader="none"/>
        </w:tabs>
        <w:spacing w:lineRule="auto" w:line="240" w:before="0" w:after="0"/>
        <w:ind w:firstLine="567"/>
        <w:rPr>
          <w:rFonts w:ascii="Times New Roman" w:hAnsi="Times New Roman"/>
          <w:sz w:val="28"/>
          <w:szCs w:val="28"/>
        </w:rPr>
      </w:pPr>
      <w:r>
        <w:rPr>
          <w:sz w:val="28"/>
          <w:szCs w:val="28"/>
        </w:rPr>
        <w:t xml:space="preserve">     </w:t>
      </w:r>
      <w:r>
        <w:rPr>
          <w:sz w:val="28"/>
          <w:szCs w:val="28"/>
        </w:rPr>
        <w:t>- організація надання адміністративних послуг у найкоротший термін та за мінімальної кількості відвідувань суб’єктів звернень.</w:t>
      </w:r>
    </w:p>
    <w:p>
      <w:pPr>
        <w:pStyle w:val="Normal"/>
        <w:tabs>
          <w:tab w:val="clear" w:pos="706"/>
          <w:tab w:val="left" w:pos="567" w:leader="none"/>
        </w:tabs>
        <w:spacing w:lineRule="auto" w:line="240" w:before="0" w:after="0"/>
        <w:ind w:firstLine="567"/>
        <w:rPr>
          <w:rFonts w:ascii="Times New Roman" w:hAnsi="Times New Roman"/>
          <w:b/>
          <w:b/>
          <w:sz w:val="28"/>
          <w:szCs w:val="28"/>
        </w:rPr>
      </w:pPr>
      <w:r>
        <w:rPr>
          <w:b/>
          <w:sz w:val="28"/>
          <w:szCs w:val="28"/>
        </w:rPr>
        <w:t>Освіта</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Пріоритетом розвитку галузі освіта є забезпечення максимального задоволення освітніх потреб мешканців територіальної громади, формування доступної та якісної системи освіти і виховання, що відповідає сучасним тенденціям розвитку суспільства керуючись Законом України «Про освіту». Основні цілі державної політики та місцевого розвитку у сфері освіти полягають у забезпеченні права дитини на доступність здобуття якісної, сучасної та доступної освіти.</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Для досягнення визначених цілей передбачено виконання заходів:</w:t>
      </w:r>
    </w:p>
    <w:p>
      <w:pPr>
        <w:pStyle w:val="Normal"/>
        <w:tabs>
          <w:tab w:val="clear" w:pos="706"/>
          <w:tab w:val="left" w:pos="567" w:leader="none"/>
        </w:tabs>
        <w:spacing w:lineRule="auto" w:line="240" w:before="0" w:after="0"/>
        <w:ind w:firstLine="851"/>
        <w:jc w:val="both"/>
        <w:rPr>
          <w:rFonts w:ascii="Times New Roman" w:hAnsi="Times New Roman"/>
          <w:color w:val="FF0000"/>
          <w:sz w:val="28"/>
          <w:szCs w:val="28"/>
        </w:rPr>
      </w:pPr>
      <w:r>
        <w:rPr>
          <w:sz w:val="28"/>
          <w:szCs w:val="28"/>
        </w:rPr>
        <w:t>формування оптимальної мережі закладів освіти;</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забезпечення умов для реалізації здібностей, інтересів, потреб кожної дитини, її різнобічного розвитку;</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забезпечення умов для сучасних моделей професійного та особистого розвитку педагогів, підготовка педагогічних кадрів до побудови виховання в сучасних умовах інноваційних змін;</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забезпечення нового освітнього простору та дизайну, зміцнення матеріально-технічної бази та оновлення комп’ютерної техніки закладів освіти;</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створення належних умов для безперешкодного доступу дітей з особливими освітніми потребами до приміщень закладів освіти та навчальних кабінетів;</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організація інклюзивного навчання у закладах освіти та підвищення ефективності діяльності інклюзивно-ресурсного центру;</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залучення вихованців закладів дошкільної освіти та учнів закладів загальної середньої освіти до активного дозвілля;</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осучаснення інтер’єру, створення сприятливих, комфортних та безпечних умов перебування в закладах освіти;</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забезпечення транспортними послугами та супровід під час підвезення дітей з віддалених селищ до місця навчання і у зворотному напрямку.</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Очікувані показники досягнення цілей:</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підвищення рівня охоплення дітей дошкільного віку дошкільною освітою;</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подальше забезпечення якісною корекційно-розвитковою роботою з учнями з особливими освітніми потребами, залучення дітей та їх батьків до здорового способу життя, активного відпочинку;</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подальше забезпечення всіх закладів освіти сучасним комп’ютерним та мультимедійним обладнанням;</w:t>
      </w:r>
    </w:p>
    <w:p>
      <w:pPr>
        <w:pStyle w:val="Normal"/>
        <w:tabs>
          <w:tab w:val="clear" w:pos="706"/>
          <w:tab w:val="left" w:pos="567" w:leader="none"/>
        </w:tabs>
        <w:spacing w:lineRule="auto" w:line="240" w:before="0" w:after="0"/>
        <w:ind w:firstLine="851"/>
        <w:jc w:val="both"/>
        <w:rPr>
          <w:rFonts w:eastAsia="Andale Sans UI" w:cs="Times New Roman"/>
          <w:sz w:val="28"/>
          <w:szCs w:val="28"/>
          <w:lang w:bidi="ar-SA"/>
        </w:rPr>
      </w:pPr>
      <w:r>
        <w:rPr>
          <w:sz w:val="28"/>
          <w:szCs w:val="28"/>
        </w:rPr>
        <w:t>підвищення створення комфортних умов освітнього простору для навчання, придбання сучасних меблів для початкових класів, засобів  навчання та забезпечення підручниками нового покоління.</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t xml:space="preserve">Прогнозні показники видатків бюджету у сфері освіти сформовані з урахування необхідності забезпечення доступу до якісної освіти  948 дітей дошкільного віку, 4 036 учнів. Реалізація освітніх послуг буде здійснюватися через існуючу мережу освітніх закладів, яка включає 7 закладів дошкільної освіти, 5 установ загальної середньої освіти та 2 навчально-виховних  комплекса, 1 навчально-виховне об’єднання, 1 інклюзивно-ресурсний центр та 1 заклад позашкільної освіти, 1 центр професійного розвитку педагогічних працівників. </w:t>
      </w:r>
    </w:p>
    <w:p>
      <w:pPr>
        <w:pStyle w:val="Normal"/>
        <w:tabs>
          <w:tab w:val="clear" w:pos="706"/>
          <w:tab w:val="left" w:pos="567" w:leader="none"/>
        </w:tabs>
        <w:spacing w:lineRule="auto" w:line="240" w:before="0" w:after="0"/>
        <w:ind w:firstLine="851"/>
        <w:jc w:val="both"/>
        <w:rPr>
          <w:rFonts w:ascii="Times New Roman" w:hAnsi="Times New Roman"/>
          <w:sz w:val="28"/>
          <w:szCs w:val="28"/>
        </w:rPr>
      </w:pPr>
      <w:r>
        <w:rPr>
          <w:sz w:val="28"/>
          <w:szCs w:val="28"/>
        </w:rPr>
      </w:r>
    </w:p>
    <w:p>
      <w:pPr>
        <w:pStyle w:val="Normal"/>
        <w:tabs>
          <w:tab w:val="clear" w:pos="706"/>
          <w:tab w:val="left" w:pos="567" w:leader="none"/>
        </w:tabs>
        <w:spacing w:lineRule="auto" w:line="240" w:before="0" w:after="0"/>
        <w:rPr>
          <w:rFonts w:ascii="Times New Roman" w:hAnsi="Times New Roman"/>
          <w:b/>
          <w:b/>
          <w:sz w:val="28"/>
          <w:szCs w:val="28"/>
          <w:lang w:val="ru-RU"/>
        </w:rPr>
      </w:pPr>
      <w:r>
        <w:rPr>
          <w:b/>
          <w:sz w:val="28"/>
          <w:szCs w:val="28"/>
        </w:rPr>
        <w:t>Охорона здоров’</w:t>
      </w:r>
      <w:r>
        <w:rPr>
          <w:b/>
          <w:sz w:val="28"/>
          <w:szCs w:val="28"/>
          <w:lang w:val="ru-RU"/>
        </w:rPr>
        <w:t>я</w:t>
      </w:r>
    </w:p>
    <w:p>
      <w:pPr>
        <w:pStyle w:val="Normal"/>
        <w:tabs>
          <w:tab w:val="clear" w:pos="706"/>
          <w:tab w:val="left" w:pos="567" w:leader="none"/>
        </w:tabs>
        <w:spacing w:lineRule="auto" w:line="240" w:before="0" w:after="0"/>
        <w:rPr>
          <w:rFonts w:ascii="Times New Roman" w:hAnsi="Times New Roman"/>
          <w:b/>
          <w:b/>
          <w:color w:val="FF0000"/>
          <w:sz w:val="28"/>
          <w:szCs w:val="28"/>
          <w:lang w:val="ru-RU"/>
        </w:rPr>
      </w:pPr>
      <w:r>
        <w:rPr>
          <w:b/>
          <w:color w:val="FF0000"/>
          <w:sz w:val="28"/>
          <w:szCs w:val="28"/>
          <w:lang w:val="ru-RU"/>
        </w:rPr>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color w:val="FF0000"/>
          <w:sz w:val="28"/>
          <w:szCs w:val="28"/>
        </w:rPr>
        <w:tab/>
      </w:r>
      <w:r>
        <w:rPr>
          <w:sz w:val="28"/>
          <w:szCs w:val="28"/>
        </w:rPr>
        <w:t>У зв’язку  з реформуванням системи охорони здоров’я в Україні запроваджено надання  гарантованого державного пакету медичних послуг. Він включає надання медичних послуг, які оплачує Національна служба здоров’я України за принципом «гроші йдуть за пацієнтом».</w:t>
      </w:r>
    </w:p>
    <w:p>
      <w:pPr>
        <w:pStyle w:val="Normal"/>
        <w:tabs>
          <w:tab w:val="clear" w:pos="706"/>
          <w:tab w:val="left" w:pos="567" w:leader="none"/>
        </w:tabs>
        <w:spacing w:lineRule="auto" w:line="240" w:before="0" w:after="0"/>
        <w:ind w:firstLine="567"/>
        <w:jc w:val="both"/>
        <w:rPr>
          <w:rFonts w:ascii="Times New Roman" w:hAnsi="Times New Roman"/>
          <w:color w:val="FF0000"/>
          <w:sz w:val="28"/>
          <w:szCs w:val="28"/>
        </w:rPr>
      </w:pPr>
      <w:r>
        <w:rPr>
          <w:sz w:val="28"/>
          <w:szCs w:val="28"/>
        </w:rPr>
        <w:t xml:space="preserve">Відповідно до Бюджетного кодексу України за рахунок коштів  міського бюджету передбачається оплата  комунальних послуг та енергоносіїв, фінансування місцевих програм розвитку та підтримки комунальних підприємств охорони здоров’я. </w:t>
      </w:r>
    </w:p>
    <w:p>
      <w:pPr>
        <w:pStyle w:val="Rvps122"/>
        <w:widowControl w:val="false"/>
        <w:tabs>
          <w:tab w:val="clear" w:pos="706"/>
          <w:tab w:val="left" w:pos="567" w:leader="none"/>
          <w:tab w:val="left" w:pos="8833" w:leader="none"/>
          <w:tab w:val="right" w:pos="9355" w:leader="none"/>
        </w:tabs>
        <w:spacing w:beforeAutospacing="0" w:before="0" w:afterAutospacing="0" w:after="0"/>
        <w:ind w:firstLine="567"/>
        <w:jc w:val="both"/>
        <w:rPr>
          <w:sz w:val="28"/>
          <w:szCs w:val="28"/>
          <w:lang w:val="uk-UA"/>
        </w:rPr>
      </w:pPr>
      <w:r>
        <w:rPr>
          <w:sz w:val="28"/>
          <w:szCs w:val="28"/>
          <w:lang w:val="uk-UA"/>
        </w:rPr>
        <w:t>Пріоритетами розвитку галузі є:</w:t>
      </w:r>
    </w:p>
    <w:p>
      <w:pPr>
        <w:pStyle w:val="Style17"/>
        <w:widowControl w:val="false"/>
        <w:tabs>
          <w:tab w:val="clear" w:pos="706"/>
          <w:tab w:val="left" w:pos="567" w:leader="none"/>
          <w:tab w:val="right" w:pos="9355" w:leader="none"/>
        </w:tabs>
        <w:spacing w:before="0" w:after="0"/>
        <w:ind w:firstLine="567"/>
        <w:jc w:val="both"/>
        <w:rPr>
          <w:sz w:val="28"/>
          <w:szCs w:val="28"/>
        </w:rPr>
      </w:pPr>
      <w:r>
        <w:rPr>
          <w:sz w:val="28"/>
          <w:szCs w:val="28"/>
        </w:rPr>
        <w:t xml:space="preserve">запровадження ефективної організації роботи </w:t>
      </w:r>
      <w:r>
        <w:rPr>
          <w:sz w:val="28"/>
          <w:szCs w:val="28"/>
          <w:lang w:val="uk-UA"/>
        </w:rPr>
        <w:t xml:space="preserve">комунальних підприємств </w:t>
      </w:r>
      <w:r>
        <w:rPr>
          <w:sz w:val="28"/>
          <w:szCs w:val="28"/>
        </w:rPr>
        <w:t xml:space="preserve">охорони здоров’я </w:t>
      </w:r>
      <w:r>
        <w:rPr>
          <w:sz w:val="28"/>
          <w:szCs w:val="28"/>
          <w:lang w:val="uk-UA"/>
        </w:rPr>
        <w:t xml:space="preserve">громади </w:t>
      </w:r>
      <w:r>
        <w:rPr>
          <w:sz w:val="28"/>
          <w:szCs w:val="28"/>
        </w:rPr>
        <w:t>та їх фінансового забезпечення;</w:t>
      </w:r>
    </w:p>
    <w:p>
      <w:pPr>
        <w:pStyle w:val="Style17"/>
        <w:widowControl w:val="false"/>
        <w:tabs>
          <w:tab w:val="clear" w:pos="706"/>
          <w:tab w:val="left" w:pos="567" w:leader="none"/>
          <w:tab w:val="right" w:pos="9355" w:leader="none"/>
        </w:tabs>
        <w:spacing w:before="0" w:after="0"/>
        <w:ind w:firstLine="567"/>
        <w:jc w:val="both"/>
        <w:rPr>
          <w:spacing w:val="-6"/>
          <w:sz w:val="28"/>
          <w:szCs w:val="28"/>
        </w:rPr>
      </w:pPr>
      <w:r>
        <w:rPr>
          <w:spacing w:val="-6"/>
          <w:sz w:val="28"/>
          <w:szCs w:val="28"/>
        </w:rPr>
        <w:t>розвиток системи медичного обслуговування населення та реформування системи охорони здоров’я;</w:t>
      </w:r>
    </w:p>
    <w:p>
      <w:pPr>
        <w:pStyle w:val="Style17"/>
        <w:widowControl w:val="false"/>
        <w:tabs>
          <w:tab w:val="clear" w:pos="706"/>
          <w:tab w:val="left" w:pos="567" w:leader="none"/>
          <w:tab w:val="right" w:pos="9355" w:leader="none"/>
        </w:tabs>
        <w:spacing w:before="0" w:after="0"/>
        <w:ind w:firstLine="567"/>
        <w:jc w:val="both"/>
        <w:rPr>
          <w:sz w:val="28"/>
          <w:szCs w:val="28"/>
        </w:rPr>
      </w:pPr>
      <w:r>
        <w:rPr>
          <w:sz w:val="28"/>
          <w:szCs w:val="28"/>
        </w:rPr>
        <w:t>підвищення якості медичного обслуговування;</w:t>
      </w:r>
    </w:p>
    <w:p>
      <w:pPr>
        <w:pStyle w:val="Style17"/>
        <w:widowControl w:val="false"/>
        <w:tabs>
          <w:tab w:val="clear" w:pos="706"/>
          <w:tab w:val="left" w:pos="567" w:leader="none"/>
          <w:tab w:val="right" w:pos="9355" w:leader="none"/>
        </w:tabs>
        <w:spacing w:before="0" w:after="0"/>
        <w:ind w:firstLine="567"/>
        <w:jc w:val="both"/>
        <w:rPr>
          <w:sz w:val="28"/>
          <w:szCs w:val="28"/>
          <w:lang w:val="uk-UA"/>
        </w:rPr>
      </w:pPr>
      <w:r>
        <w:rPr>
          <w:sz w:val="28"/>
          <w:szCs w:val="28"/>
        </w:rPr>
        <w:t>зниження рівня загальної захворюваності населення</w:t>
      </w:r>
      <w:r>
        <w:rPr>
          <w:sz w:val="28"/>
          <w:szCs w:val="28"/>
          <w:lang w:val="uk-UA"/>
        </w:rPr>
        <w:t>;</w:t>
      </w:r>
    </w:p>
    <w:p>
      <w:pPr>
        <w:pStyle w:val="Style17"/>
        <w:widowControl w:val="false"/>
        <w:tabs>
          <w:tab w:val="clear" w:pos="706"/>
          <w:tab w:val="left" w:pos="567" w:leader="none"/>
          <w:tab w:val="right" w:pos="9355" w:leader="none"/>
        </w:tabs>
        <w:spacing w:before="0" w:after="0"/>
        <w:ind w:firstLine="567"/>
        <w:jc w:val="both"/>
        <w:rPr>
          <w:sz w:val="28"/>
          <w:szCs w:val="28"/>
          <w:lang w:val="uk-UA"/>
        </w:rPr>
      </w:pPr>
      <w:r>
        <w:rPr>
          <w:sz w:val="28"/>
          <w:szCs w:val="28"/>
        </w:rPr>
        <w:t>упорядкування мережі закладів охорони здоров’я з урахуванням потреб населення у медичному обслуговуванні та створення конкурентоспроможної системи закладів охорони здоров’я</w:t>
      </w:r>
      <w:r>
        <w:rPr>
          <w:sz w:val="28"/>
          <w:szCs w:val="28"/>
          <w:lang w:val="uk-UA"/>
        </w:rPr>
        <w:t>.</w:t>
      </w:r>
    </w:p>
    <w:p>
      <w:pPr>
        <w:pStyle w:val="Style17"/>
        <w:widowControl w:val="false"/>
        <w:tabs>
          <w:tab w:val="clear" w:pos="706"/>
          <w:tab w:val="left" w:pos="567" w:leader="none"/>
          <w:tab w:val="right" w:pos="9355" w:leader="none"/>
        </w:tabs>
        <w:spacing w:before="0" w:after="0"/>
        <w:ind w:firstLine="567"/>
        <w:jc w:val="both"/>
        <w:rPr>
          <w:sz w:val="28"/>
          <w:szCs w:val="28"/>
        </w:rPr>
      </w:pPr>
      <w:r>
        <w:rPr>
          <w:sz w:val="28"/>
          <w:szCs w:val="28"/>
          <w:lang w:val="uk-UA"/>
        </w:rPr>
        <w:t>О</w:t>
      </w:r>
      <w:r>
        <w:rPr>
          <w:sz w:val="28"/>
          <w:szCs w:val="28"/>
        </w:rPr>
        <w:t>сновні результати, як</w:t>
      </w:r>
      <w:r>
        <w:rPr>
          <w:sz w:val="28"/>
          <w:szCs w:val="28"/>
          <w:lang w:val="uk-UA"/>
        </w:rPr>
        <w:t>і</w:t>
      </w:r>
      <w:r>
        <w:rPr>
          <w:sz w:val="28"/>
          <w:szCs w:val="28"/>
        </w:rPr>
        <w:t xml:space="preserve"> планується досягти: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забезпечення лікарськими препаратами, засобами, спеціальним харчуванням на безоплатній основі або частково осіб з особливими потребами, людей  і дітей з інвалідністю, учасників бойових дій, АТО, постраждалих внаслідок Чорнобильської катастрофи;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протидія розповсюдженню інфекційних хвороб, профілактика хронічних захворювань;</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покращення своєчасного виявлення цукрового діабету, туберкульозу у населення міста;</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забезпечення безкоштовним зубним протезуванням пільгових категорій населення згідно законодавства.</w:t>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t>Соціальний захист та соціальне забезпечення</w:t>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ab/>
        <w:t>Пріоритетним завданням у сфері соціального захисту та соціального забезпечення є продовження реалізації соціальних ініціатив, реалізація політики у сфері соціального захисту населення, яке проживає на території  територіальної громади, підвищення життєвого рівня за рахунок надання пільг та допомог малозабезпеченим верствам населення, забезпечення соціального захисту громадян, учасників АТО/ООС та членів їхніх родин, сприяння у задоволенні соціальних потреб сімей, дітей та молоді, які перебувають у складних життєвих обставинах,  шляхом надання цільової допомоги, послуг, організація результативної роботи з реабілітації бездоглядних та безпритульних дітей, розвитку сімейних форм виховання дітей-сиріт та дітей, позбавлених батьківського піклування.</w:t>
      </w:r>
    </w:p>
    <w:p>
      <w:pPr>
        <w:pStyle w:val="Normal"/>
        <w:tabs>
          <w:tab w:val="clear" w:pos="706"/>
          <w:tab w:val="left" w:pos="567" w:leader="none"/>
        </w:tabs>
        <w:spacing w:lineRule="auto" w:line="240" w:before="0" w:after="0"/>
        <w:jc w:val="both"/>
        <w:rPr>
          <w:rFonts w:ascii="Times New Roman" w:hAnsi="Times New Roman"/>
          <w:sz w:val="28"/>
          <w:szCs w:val="28"/>
        </w:rPr>
      </w:pPr>
      <w:r>
        <w:rPr>
          <w:color w:val="FF0000"/>
          <w:sz w:val="28"/>
          <w:szCs w:val="28"/>
        </w:rPr>
        <w:t xml:space="preserve">       </w:t>
      </w:r>
      <w:r>
        <w:rPr>
          <w:sz w:val="28"/>
          <w:szCs w:val="28"/>
        </w:rPr>
        <w:t>Основні завдання та заходи на 2022-2024 роки:</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створення умов для надання всебічної соціальної допомоги найбільш вразливим верствам населення;</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сприяння підвищенню рівня соціальної захищеності населення, підтримки ветеранів війни, інвалідів, потерпілих від наслідків аварії на ЧАЕС;</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соціальний захист учасників АТО/ООС та членів їхніх родин;</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забезпечення ефективної діяльності установ соціальної сфери;</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розвиток сімейних форм виховання дітей-сиріт та дітей, позбавлених батьківського піклування</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xml:space="preserve">Очікувані результати, які планується досягти: </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покращення інформування населення щодо можливості отримання державних соціальних допомог;</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поліпшити стан соціальної захищеності населення, сімей з дітьми, осіб з інвалідністю, учасників АТО/ООС, ветеранів війни, праці, осіб похилого віку, осіб, які постраждали внаслідок Чорнобильської катастрофи, внутрішньо переміщених осіб, осіб, які опинились в складних життєвих обставинах;</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забезпечення безоплатного та пільгового проїзду окремих категорій населення;</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оздоровлення та відпочинок дітей;</w:t>
      </w:r>
    </w:p>
    <w:p>
      <w:pPr>
        <w:pStyle w:val="Normal"/>
        <w:tabs>
          <w:tab w:val="clear" w:pos="706"/>
          <w:tab w:val="left" w:pos="567" w:leader="none"/>
        </w:tabs>
        <w:spacing w:lineRule="auto" w:line="240" w:before="0" w:after="0"/>
        <w:jc w:val="both"/>
        <w:rPr>
          <w:rFonts w:ascii="Times New Roman" w:hAnsi="Times New Roman"/>
          <w:sz w:val="28"/>
          <w:szCs w:val="28"/>
        </w:rPr>
      </w:pPr>
      <w:r>
        <w:rPr>
          <w:sz w:val="28"/>
          <w:szCs w:val="28"/>
        </w:rPr>
        <w:t xml:space="preserve">  </w:t>
      </w:r>
      <w:r>
        <w:rPr>
          <w:sz w:val="28"/>
          <w:szCs w:val="28"/>
        </w:rPr>
        <w:t>- зменшення кількості дітей-сиріт та дітей, позбавлених батьківського піклування шляхом сприяння усиновлення їх громадянами України.</w:t>
      </w:r>
    </w:p>
    <w:p>
      <w:pPr>
        <w:pStyle w:val="Normal"/>
        <w:tabs>
          <w:tab w:val="clear" w:pos="706"/>
          <w:tab w:val="left" w:pos="567" w:leader="none"/>
        </w:tabs>
        <w:spacing w:lineRule="auto" w:line="240" w:before="0" w:after="0"/>
        <w:ind w:firstLine="708"/>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t>Культура</w:t>
      </w:r>
    </w:p>
    <w:p>
      <w:pPr>
        <w:pStyle w:val="Normal"/>
        <w:tabs>
          <w:tab w:val="clear" w:pos="706"/>
          <w:tab w:val="left" w:pos="567" w:leader="none"/>
        </w:tabs>
        <w:spacing w:lineRule="auto" w:line="240" w:before="0" w:after="0"/>
        <w:ind w:firstLine="708"/>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Головним напрямком галузі є забезпечення розвитку культури і духовності населення  територіальної громади, створення максимально сприятливих умов для творчого розвитку,  відродження народної творчості та популяризації національних звичаїв та обрядів, проведення різноманітних соціальних культурних проектів.</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Для досягнення визначених цілей передбачено виконання заходів:</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зміцнення, модернізація, оновлення матеріально-технічної бази закладів культури  територіальної громади;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поповнення бібліотечних фондів централізованої бібліотечної системи, підписка періодичних видань;</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автоматизація та програмне забезпечення бібліотечних процесів;</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створення умов для реалізації державної культурної політики на території громади;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забезпечення найбільш сприятливих умов для розвитку інтересів і здібностей учнів мистецьких шкіл;</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забезпечення економічних і соціальних гарантій для професійної самореалізації працівників культури, підвищення їх соціального статусу, професійного рівня, фахової майстерності;</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проведення та підготовка культурно-масових мистецьких заходів до державних та громадських свят.</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Очікувані результати, які планується досягти: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Збільшення чисельності читачів, відвідувачів музею, обсягу примірників бібліотечного фонду та книговидач;</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забезпечення умов для розвитку доступної та якісної системи культури в  територіальній громаді відповідно до вимог;</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збереження національної культурної спадщини, рухомих та нерухомих пам’яток і цінностей, музеїв, як основи національної культури;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гарантування свободи художньої творчості, участь громадських організацій в культурному житті громади;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створення оптимальних умов для реалізації бібліотеками своїх соціальних функцій, забезпечення літературою та підвищення їх ролі як інформаційно-культурних центрів;</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створення сучасної матеріально-технічної бази закладів культури, розширення їх функцій, збільшення відвідуваності, вільний доступ жителів громади до інформаційних ресурсів;</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підтримка ефективного рівня діяльності клубних закладів.</w:t>
      </w:r>
    </w:p>
    <w:p>
      <w:pPr>
        <w:pStyle w:val="Normal"/>
        <w:tabs>
          <w:tab w:val="clear" w:pos="706"/>
          <w:tab w:val="left" w:pos="567" w:leader="none"/>
        </w:tabs>
        <w:spacing w:lineRule="auto" w:line="240" w:before="0" w:after="0"/>
        <w:ind w:firstLine="708"/>
        <w:jc w:val="both"/>
        <w:rPr>
          <w:rFonts w:ascii="Times New Roman" w:hAnsi="Times New Roman"/>
          <w:sz w:val="28"/>
          <w:szCs w:val="28"/>
        </w:rPr>
      </w:pPr>
      <w:r>
        <w:rPr>
          <w:sz w:val="28"/>
          <w:szCs w:val="28"/>
        </w:rPr>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t>Фізична культура та спорт</w:t>
      </w:r>
    </w:p>
    <w:p>
      <w:pPr>
        <w:pStyle w:val="Normal"/>
        <w:tabs>
          <w:tab w:val="clear" w:pos="706"/>
          <w:tab w:val="left" w:pos="567" w:leader="none"/>
        </w:tabs>
        <w:spacing w:lineRule="auto" w:line="240" w:before="0" w:after="0"/>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Пріоритетом розвитку громади в галузі фізичної культури та спорту є забезпечення надання якісних фізкультурно-спортивних послуг спортивними школами, забезпечення розвитку олімпійських, неолімпійських видів спорту в місті Покров.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Для досягнення визначених цілей передбачено виконання наступних завдань:</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проведення  на високому організаційному та спортивному рівнях загальноміських змагань та спартакіад на території громади;</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підвищення рівня обізнаності та інформованості різних груп населення щодо формування здорового способу життя та профілактики негативних явищ серед молоді та дітей;</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збереження діючої мережі ДЮСШ, удосконалення навчально-виховного процесу у відповідності до сучасних вимог.</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Показниками досягнення цілі державної політики та міського розвитку є:</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виховання у населення міста відповідних мотиваційних та поведінкових характеристик, активної соціальної орієнтації на здоровий спосіб життя;</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 сприяння духовному та фізичному розвитку молоді, осіб з інвалідністю, вихованням у неї почуття громадської свідомості та патріотизму. </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Прогнозні показники видатків бюджету у сфері фізичної культури та спорту сформовані з урахуванням  умов для підвищення  фізичної підготовленості та збільшення обсягу рухової активності  населення. Завдяки двом закладам позашкільної освіти дитячо-юнацьких спортивних шкіл здійснюється реалізація міської програми фізичної культури та спорту.</w:t>
      </w:r>
    </w:p>
    <w:p>
      <w:pPr>
        <w:pStyle w:val="Normal"/>
        <w:tabs>
          <w:tab w:val="clear" w:pos="706"/>
          <w:tab w:val="left" w:pos="567" w:leader="none"/>
        </w:tabs>
        <w:spacing w:lineRule="auto" w:line="240" w:before="0" w:after="0"/>
        <w:ind w:firstLine="567"/>
        <w:jc w:val="both"/>
        <w:rPr>
          <w:rFonts w:ascii="Times New Roman" w:hAnsi="Times New Roman"/>
          <w:color w:val="FF0000"/>
          <w:sz w:val="28"/>
          <w:szCs w:val="28"/>
        </w:rPr>
      </w:pPr>
      <w:r>
        <w:rPr>
          <w:color w:val="FF0000"/>
          <w:sz w:val="28"/>
          <w:szCs w:val="28"/>
        </w:rPr>
      </w:r>
    </w:p>
    <w:p>
      <w:pPr>
        <w:pStyle w:val="Normal"/>
        <w:tabs>
          <w:tab w:val="clear" w:pos="706"/>
          <w:tab w:val="left" w:pos="567" w:leader="none"/>
        </w:tabs>
        <w:spacing w:lineRule="auto" w:line="240" w:before="0" w:after="0"/>
        <w:jc w:val="both"/>
        <w:rPr>
          <w:rFonts w:ascii="Times New Roman" w:hAnsi="Times New Roman"/>
          <w:b/>
          <w:b/>
          <w:color w:val="000000"/>
          <w:sz w:val="28"/>
          <w:szCs w:val="28"/>
        </w:rPr>
      </w:pPr>
      <w:r>
        <w:rPr>
          <w:b/>
          <w:color w:val="000000"/>
          <w:sz w:val="28"/>
          <w:szCs w:val="28"/>
        </w:rPr>
        <w:t>Житлово-комунальне господарство</w:t>
      </w:r>
    </w:p>
    <w:p>
      <w:pPr>
        <w:pStyle w:val="Normal"/>
        <w:tabs>
          <w:tab w:val="clear" w:pos="706"/>
          <w:tab w:val="left" w:pos="567" w:leader="none"/>
        </w:tabs>
        <w:spacing w:lineRule="auto" w:line="240" w:before="0" w:after="0"/>
        <w:ind w:firstLine="709"/>
        <w:jc w:val="both"/>
        <w:rPr>
          <w:rFonts w:ascii="Times New Roman" w:hAnsi="Times New Roman"/>
          <w:b/>
          <w:b/>
          <w:color w:val="000000"/>
          <w:sz w:val="28"/>
          <w:szCs w:val="28"/>
        </w:rPr>
      </w:pPr>
      <w:r>
        <w:rPr>
          <w:b/>
          <w:color w:val="000000"/>
          <w:sz w:val="28"/>
          <w:szCs w:val="28"/>
        </w:rPr>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b/>
          <w:color w:val="000000"/>
          <w:sz w:val="28"/>
          <w:szCs w:val="28"/>
        </w:rPr>
        <w:t xml:space="preserve"> </w:t>
      </w:r>
      <w:r>
        <w:rPr>
          <w:color w:val="000000"/>
          <w:sz w:val="28"/>
          <w:szCs w:val="28"/>
        </w:rPr>
        <w:t>Пріоритетом розвитку житлово-комунального господарства громади є підвищення якості надання житлово-комунальних послуг та покращення стану благоустрою населених пунктів громади. Основні цілі державної політики та місцевого розвитку у цій сфері полягають в:</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організації благоустрою населених пунктів, озеленення, створення місць відпочинку, збирання та утилізації побутових відходів, утримання в належному стані кладовищ;</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управлінні об'єктами житлово-комунального господарства, їх ефективної експлуатації.</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Для досягнення визначених цілей передбачено виконання наступних завдань:</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розроблення і здійснення ефективних і комплексних заходів з утримання територій населених пунктів у належному стані, їх санітарного очищення, збереження об'єктів загального користування, а також природних комплексів і об'єктів;</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організацію належного утримання та раціонального використання території, будівель, інженерних споруд та об'єктів іншого призначення.</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Показниками досягнення цілей державної політики та місцевого розвитку є:</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видалення сухостійних дерев, що підлягають видаленню, в повному обсязі;</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збільшення  питомої ваги площі оновлених газонів у загальній їх площі;</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охоплення прибиранням всієї площі території громади.</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На реалізацію завдань у сфері житлово-комунального господарства передбачується спрямувати у 202</w:t>
      </w:r>
      <w:r>
        <w:rPr>
          <w:color w:val="000000"/>
          <w:sz w:val="28"/>
          <w:szCs w:val="28"/>
          <w:lang w:val="ru-RU"/>
        </w:rPr>
        <w:t>2</w:t>
      </w:r>
      <w:r>
        <w:rPr>
          <w:color w:val="000000"/>
          <w:sz w:val="28"/>
          <w:szCs w:val="28"/>
        </w:rPr>
        <w:t xml:space="preserve"> році </w:t>
      </w:r>
      <w:r>
        <w:rPr>
          <w:color w:val="000000"/>
          <w:sz w:val="28"/>
          <w:szCs w:val="28"/>
          <w:lang w:val="ru-RU"/>
        </w:rPr>
        <w:t>- 67 615,4 тис.</w:t>
      </w:r>
      <w:r>
        <w:rPr>
          <w:color w:val="000000"/>
          <w:sz w:val="28"/>
          <w:szCs w:val="28"/>
        </w:rPr>
        <w:t xml:space="preserve"> грн, в 202</w:t>
      </w:r>
      <w:r>
        <w:rPr>
          <w:color w:val="000000"/>
          <w:sz w:val="28"/>
          <w:szCs w:val="28"/>
          <w:lang w:val="ru-RU"/>
        </w:rPr>
        <w:t>3</w:t>
      </w:r>
      <w:r>
        <w:rPr>
          <w:color w:val="000000"/>
          <w:sz w:val="28"/>
          <w:szCs w:val="28"/>
        </w:rPr>
        <w:t xml:space="preserve"> році </w:t>
      </w:r>
      <w:r>
        <w:rPr>
          <w:color w:val="000000"/>
          <w:sz w:val="28"/>
          <w:szCs w:val="28"/>
          <w:lang w:val="ru-RU"/>
        </w:rPr>
        <w:t>- 72 095,9 тис.</w:t>
      </w:r>
      <w:r>
        <w:rPr>
          <w:color w:val="000000"/>
          <w:sz w:val="28"/>
          <w:szCs w:val="28"/>
        </w:rPr>
        <w:t xml:space="preserve"> грн, в 202</w:t>
      </w:r>
      <w:r>
        <w:rPr>
          <w:color w:val="000000"/>
          <w:sz w:val="28"/>
          <w:szCs w:val="28"/>
          <w:lang w:val="ru-RU"/>
        </w:rPr>
        <w:t>4</w:t>
      </w:r>
      <w:r>
        <w:rPr>
          <w:color w:val="000000"/>
          <w:sz w:val="28"/>
          <w:szCs w:val="28"/>
        </w:rPr>
        <w:t xml:space="preserve"> році  </w:t>
      </w:r>
      <w:r>
        <w:rPr>
          <w:color w:val="000000"/>
          <w:sz w:val="28"/>
          <w:szCs w:val="28"/>
          <w:lang w:val="ru-RU"/>
        </w:rPr>
        <w:t>-</w:t>
      </w:r>
      <w:r>
        <w:rPr>
          <w:color w:val="000000"/>
          <w:sz w:val="28"/>
          <w:szCs w:val="28"/>
        </w:rPr>
        <w:t xml:space="preserve">  </w:t>
      </w:r>
      <w:r>
        <w:rPr>
          <w:color w:val="000000"/>
          <w:sz w:val="28"/>
          <w:szCs w:val="28"/>
          <w:lang w:val="ru-RU"/>
        </w:rPr>
        <w:t>75 180,6 тис.</w:t>
      </w:r>
      <w:r>
        <w:rPr>
          <w:color w:val="000000"/>
          <w:sz w:val="28"/>
          <w:szCs w:val="28"/>
        </w:rPr>
        <w:t xml:space="preserve"> грн.</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lang w:val="ru-RU"/>
        </w:rPr>
      </w:pPr>
      <w:r>
        <w:rPr>
          <w:color w:val="000000"/>
          <w:sz w:val="28"/>
          <w:szCs w:val="28"/>
        </w:rPr>
        <w:t>Прогнозні показники видатків бюджету сформовані з урахуванням необхідності забезпечити підвищення рівня комфортності проживання населення громади та включають видатки на  організацію благоустрою населених пунктів  у 2022 році - 27</w:t>
      </w:r>
      <w:r>
        <w:rPr>
          <w:color w:val="000000"/>
          <w:sz w:val="28"/>
          <w:szCs w:val="28"/>
          <w:lang w:val="ru-RU"/>
        </w:rPr>
        <w:t> </w:t>
      </w:r>
      <w:r>
        <w:rPr>
          <w:color w:val="000000"/>
          <w:sz w:val="28"/>
          <w:szCs w:val="28"/>
        </w:rPr>
        <w:t>319,9 тис.  грн, в 202</w:t>
      </w:r>
      <w:r>
        <w:rPr>
          <w:color w:val="000000"/>
          <w:sz w:val="28"/>
          <w:szCs w:val="28"/>
          <w:lang w:val="ru-RU"/>
        </w:rPr>
        <w:t>3</w:t>
      </w:r>
      <w:r>
        <w:rPr>
          <w:color w:val="000000"/>
          <w:sz w:val="28"/>
          <w:szCs w:val="28"/>
        </w:rPr>
        <w:t xml:space="preserve"> році </w:t>
      </w:r>
      <w:r>
        <w:rPr>
          <w:color w:val="000000"/>
          <w:sz w:val="28"/>
          <w:szCs w:val="28"/>
          <w:lang w:val="ru-RU"/>
        </w:rPr>
        <w:t>- 32 484,9 тис.</w:t>
      </w:r>
      <w:r>
        <w:rPr>
          <w:color w:val="000000"/>
          <w:sz w:val="28"/>
          <w:szCs w:val="28"/>
        </w:rPr>
        <w:t xml:space="preserve"> грн, в 202</w:t>
      </w:r>
      <w:r>
        <w:rPr>
          <w:color w:val="000000"/>
          <w:sz w:val="28"/>
          <w:szCs w:val="28"/>
          <w:lang w:val="ru-RU"/>
        </w:rPr>
        <w:t>4</w:t>
      </w:r>
      <w:r>
        <w:rPr>
          <w:color w:val="000000"/>
          <w:sz w:val="28"/>
          <w:szCs w:val="28"/>
        </w:rPr>
        <w:t xml:space="preserve"> році </w:t>
      </w:r>
      <w:r>
        <w:rPr>
          <w:color w:val="000000"/>
          <w:sz w:val="28"/>
          <w:szCs w:val="28"/>
          <w:lang w:val="ru-RU"/>
        </w:rPr>
        <w:t>- 32 417,4 тис.</w:t>
      </w:r>
      <w:r>
        <w:rPr>
          <w:color w:val="000000"/>
          <w:sz w:val="28"/>
          <w:szCs w:val="28"/>
        </w:rPr>
        <w:t xml:space="preserve"> </w:t>
      </w:r>
      <w:r>
        <w:rPr>
          <w:color w:val="000000"/>
          <w:sz w:val="28"/>
          <w:szCs w:val="28"/>
          <w:lang w:val="ru-RU"/>
        </w:rPr>
        <w:t>г</w:t>
      </w:r>
      <w:r>
        <w:rPr>
          <w:color w:val="000000"/>
          <w:sz w:val="28"/>
          <w:szCs w:val="28"/>
        </w:rPr>
        <w:t>рн</w:t>
      </w:r>
      <w:r>
        <w:rPr>
          <w:color w:val="000000"/>
          <w:sz w:val="28"/>
          <w:szCs w:val="28"/>
          <w:lang w:val="ru-RU"/>
        </w:rPr>
        <w:t>.</w:t>
      </w:r>
    </w:p>
    <w:p>
      <w:pPr>
        <w:pStyle w:val="Normal"/>
        <w:tabs>
          <w:tab w:val="clear" w:pos="706"/>
          <w:tab w:val="left" w:pos="567" w:leader="none"/>
        </w:tabs>
        <w:spacing w:lineRule="auto" w:line="240" w:before="0" w:after="0"/>
        <w:ind w:firstLine="709"/>
        <w:jc w:val="both"/>
        <w:rPr>
          <w:rFonts w:ascii="Times New Roman" w:hAnsi="Times New Roman"/>
          <w:color w:val="000000"/>
          <w:sz w:val="28"/>
          <w:szCs w:val="28"/>
        </w:rPr>
      </w:pPr>
      <w:r>
        <w:rPr>
          <w:color w:val="000000"/>
          <w:sz w:val="28"/>
          <w:szCs w:val="28"/>
        </w:rPr>
      </w:r>
    </w:p>
    <w:p>
      <w:pPr>
        <w:pStyle w:val="Normal"/>
        <w:tabs>
          <w:tab w:val="clear" w:pos="706"/>
          <w:tab w:val="left" w:pos="567" w:leader="none"/>
        </w:tabs>
        <w:spacing w:lineRule="auto" w:line="240" w:before="0" w:after="0"/>
        <w:jc w:val="both"/>
        <w:rPr>
          <w:rFonts w:ascii="Times New Roman" w:hAnsi="Times New Roman"/>
          <w:b/>
          <w:b/>
          <w:color w:val="000000"/>
          <w:sz w:val="28"/>
          <w:szCs w:val="28"/>
        </w:rPr>
      </w:pPr>
      <w:r>
        <w:rPr>
          <w:b/>
          <w:color w:val="000000"/>
          <w:sz w:val="28"/>
          <w:szCs w:val="28"/>
        </w:rPr>
        <w:t>VII. Капітальні вкладення з бюджету.</w:t>
      </w:r>
    </w:p>
    <w:p>
      <w:pPr>
        <w:pStyle w:val="Normal"/>
        <w:tabs>
          <w:tab w:val="clear" w:pos="706"/>
          <w:tab w:val="left" w:pos="567" w:leader="none"/>
        </w:tabs>
        <w:spacing w:lineRule="auto" w:line="240" w:before="0" w:after="0"/>
        <w:ind w:firstLine="709"/>
        <w:jc w:val="both"/>
        <w:rPr>
          <w:rFonts w:ascii="Times New Roman" w:hAnsi="Times New Roman"/>
          <w:b/>
          <w:b/>
          <w:color w:val="000000"/>
          <w:sz w:val="28"/>
          <w:szCs w:val="28"/>
        </w:rPr>
      </w:pPr>
      <w:r>
        <w:rPr>
          <w:b/>
          <w:color w:val="000000"/>
          <w:sz w:val="28"/>
          <w:szCs w:val="28"/>
        </w:rPr>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Пріоритетом стратегії розвитку Покровської міської ради є реалізація інвестиційної політики, яка спрямована на розвиток державно-приватного партнерства, активізацію інвестиційної діяльності та впровадження енергозберігаючих технологій в бюджетній сфері та галузях економіки громади.</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Стратегічна мета капітальних інвестицій - підвищення якості надання публічних послуг жителям громади та покращення комфорту проживання на території міста.</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Цілями капітальних інвестицій та очікуваними соціально-економічними результатами від здійснення капітальних вкладень є:</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xml:space="preserve">1. Покращення транспортно-експлуатаційного стану автомобільних доріг загального користування місцевого значення, вулиць і доріг комунальної власності, ліквідація незадовільних умов руху автотранспорту, покращення   </w:t>
      </w:r>
      <w:bookmarkStart w:id="1" w:name="_GoBack1"/>
      <w:bookmarkEnd w:id="1"/>
      <w:r>
        <w:rPr>
          <w:color w:val="000000"/>
          <w:sz w:val="28"/>
          <w:szCs w:val="28"/>
        </w:rPr>
        <w:t>транспортного, пішохідного сполучення та безпеки дорожнього руху.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2. Модернізація та оновлення матеріально-технічної бази установ соціально-культурної сфери, підвищення рівня надання послуг в соціально-культурній сфері.</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3. Впровадження енергозберігаючих технологій при освітленні вулиць громади, забезпечення належної безпеки громадян, комфортності пересування та проживання.</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Реалізація запланованих цілей та завдань здійснюватиметься за рахунок коштів бюджету розвитку, обсяг якого у середньостроковому періоді становитиме:</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FF0000"/>
          <w:sz w:val="28"/>
          <w:szCs w:val="28"/>
        </w:rPr>
        <w:t xml:space="preserve"> </w:t>
      </w:r>
      <w:r>
        <w:rPr>
          <w:color w:val="000000"/>
          <w:sz w:val="28"/>
          <w:szCs w:val="28"/>
        </w:rPr>
        <w:t>у 202</w:t>
      </w:r>
      <w:r>
        <w:rPr>
          <w:color w:val="000000"/>
          <w:sz w:val="28"/>
          <w:szCs w:val="28"/>
          <w:lang w:val="ru-RU"/>
        </w:rPr>
        <w:t>2</w:t>
      </w:r>
      <w:r>
        <w:rPr>
          <w:color w:val="000000"/>
          <w:sz w:val="28"/>
          <w:szCs w:val="28"/>
        </w:rPr>
        <w:t xml:space="preserve"> році – </w:t>
      </w:r>
      <w:r>
        <w:rPr>
          <w:color w:val="000000"/>
          <w:sz w:val="28"/>
          <w:szCs w:val="28"/>
          <w:lang w:val="ru-RU"/>
        </w:rPr>
        <w:t>35 844,5</w:t>
      </w:r>
      <w:r>
        <w:rPr>
          <w:color w:val="000000"/>
          <w:sz w:val="28"/>
          <w:szCs w:val="28"/>
        </w:rPr>
        <w:t xml:space="preserve"> тис</w:t>
      </w:r>
      <w:r>
        <w:rPr>
          <w:color w:val="000000"/>
          <w:sz w:val="28"/>
          <w:szCs w:val="28"/>
          <w:lang w:val="ru-RU"/>
        </w:rPr>
        <w:t>.</w:t>
      </w:r>
      <w:r>
        <w:rPr>
          <w:color w:val="000000"/>
          <w:sz w:val="28"/>
          <w:szCs w:val="28"/>
        </w:rPr>
        <w:t xml:space="preserve">  грн, у 202</w:t>
      </w:r>
      <w:r>
        <w:rPr>
          <w:color w:val="000000"/>
          <w:sz w:val="28"/>
          <w:szCs w:val="28"/>
          <w:lang w:val="ru-RU"/>
        </w:rPr>
        <w:t>3</w:t>
      </w:r>
      <w:r>
        <w:rPr>
          <w:color w:val="000000"/>
          <w:sz w:val="28"/>
          <w:szCs w:val="28"/>
        </w:rPr>
        <w:t xml:space="preserve"> році -  </w:t>
      </w:r>
      <w:r>
        <w:rPr>
          <w:color w:val="000000"/>
          <w:sz w:val="28"/>
          <w:szCs w:val="28"/>
          <w:lang w:val="ru-RU"/>
        </w:rPr>
        <w:t>38 868,5</w:t>
      </w:r>
      <w:r>
        <w:rPr>
          <w:color w:val="000000"/>
          <w:sz w:val="28"/>
          <w:szCs w:val="28"/>
        </w:rPr>
        <w:t xml:space="preserve"> тис</w:t>
      </w:r>
      <w:r>
        <w:rPr>
          <w:color w:val="000000"/>
          <w:sz w:val="28"/>
          <w:szCs w:val="28"/>
          <w:lang w:val="ru-RU"/>
        </w:rPr>
        <w:t>.</w:t>
      </w:r>
      <w:r>
        <w:rPr>
          <w:color w:val="000000"/>
          <w:sz w:val="28"/>
          <w:szCs w:val="28"/>
        </w:rPr>
        <w:t xml:space="preserve"> грн, у 202</w:t>
      </w:r>
      <w:r>
        <w:rPr>
          <w:color w:val="000000"/>
          <w:sz w:val="28"/>
          <w:szCs w:val="28"/>
          <w:lang w:val="ru-RU"/>
        </w:rPr>
        <w:t>4</w:t>
      </w:r>
      <w:r>
        <w:rPr>
          <w:color w:val="000000"/>
          <w:sz w:val="28"/>
          <w:szCs w:val="28"/>
        </w:rPr>
        <w:t xml:space="preserve"> році </w:t>
      </w:r>
      <w:r>
        <w:rPr>
          <w:color w:val="000000"/>
          <w:sz w:val="28"/>
          <w:szCs w:val="28"/>
          <w:lang w:val="ru-RU"/>
        </w:rPr>
        <w:t>– 41 170,5</w:t>
      </w:r>
      <w:r>
        <w:rPr>
          <w:color w:val="000000"/>
          <w:sz w:val="28"/>
          <w:szCs w:val="28"/>
        </w:rPr>
        <w:t xml:space="preserve"> тис</w:t>
      </w:r>
      <w:r>
        <w:rPr>
          <w:color w:val="000000"/>
          <w:sz w:val="28"/>
          <w:szCs w:val="28"/>
          <w:lang w:val="ru-RU"/>
        </w:rPr>
        <w:t>.</w:t>
      </w:r>
      <w:r>
        <w:rPr>
          <w:color w:val="000000"/>
          <w:sz w:val="28"/>
          <w:szCs w:val="28"/>
        </w:rPr>
        <w:t xml:space="preserve"> грн. Показники бюджету розвитку за основними видами надходжень та граничними обсягами витрат наведено у додатку 9 до Прогнозу.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Основними джерелами формування бюджету розвитку є кошти міського бюджету.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Кошти бюджету розвитку в основному спрямовуватимуться на:</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покращення матеріально-технічної бази установ;</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реалізації інвестиційних проектів;</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 погашення місцевого боргу.</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Впродовж середньострокового періоду передбачається </w:t>
      </w:r>
      <w:r>
        <w:rPr>
          <w:sz w:val="28"/>
          <w:szCs w:val="28"/>
          <w:lang w:val="ru-RU"/>
        </w:rPr>
        <w:t xml:space="preserve">направити на </w:t>
      </w:r>
      <w:r>
        <w:rPr>
          <w:sz w:val="28"/>
          <w:szCs w:val="28"/>
        </w:rPr>
        <w:t>реаліз</w:t>
      </w:r>
      <w:r>
        <w:rPr>
          <w:sz w:val="28"/>
          <w:szCs w:val="28"/>
          <w:lang w:val="ru-RU"/>
        </w:rPr>
        <w:t>ацію</w:t>
      </w:r>
      <w:r>
        <w:rPr>
          <w:sz w:val="28"/>
          <w:szCs w:val="28"/>
        </w:rPr>
        <w:t xml:space="preserve">  </w:t>
      </w:r>
      <w:r>
        <w:rPr>
          <w:sz w:val="28"/>
          <w:szCs w:val="28"/>
          <w:lang w:val="ru-RU"/>
        </w:rPr>
        <w:t xml:space="preserve">  </w:t>
      </w:r>
      <w:r>
        <w:rPr>
          <w:sz w:val="28"/>
          <w:szCs w:val="28"/>
        </w:rPr>
        <w:t>інвестиційни</w:t>
      </w:r>
      <w:r>
        <w:rPr>
          <w:sz w:val="28"/>
          <w:szCs w:val="28"/>
          <w:lang w:val="ru-RU"/>
        </w:rPr>
        <w:t>х</w:t>
      </w:r>
      <w:r>
        <w:rPr>
          <w:sz w:val="28"/>
          <w:szCs w:val="28"/>
        </w:rPr>
        <w:t xml:space="preserve"> проект</w:t>
      </w:r>
      <w:r>
        <w:rPr>
          <w:sz w:val="28"/>
          <w:szCs w:val="28"/>
          <w:lang w:val="ru-RU"/>
        </w:rPr>
        <w:t>ів коштів</w:t>
      </w:r>
      <w:r>
        <w:rPr>
          <w:sz w:val="28"/>
          <w:szCs w:val="28"/>
        </w:rPr>
        <w:t xml:space="preserve"> на загальну суму </w:t>
      </w:r>
      <w:r>
        <w:rPr>
          <w:sz w:val="28"/>
          <w:szCs w:val="28"/>
          <w:lang w:val="ru-RU"/>
        </w:rPr>
        <w:t>14 172,6</w:t>
      </w:r>
      <w:r>
        <w:rPr>
          <w:sz w:val="28"/>
          <w:szCs w:val="28"/>
        </w:rPr>
        <w:t xml:space="preserve"> тис.  грн, у тому числі:</w:t>
      </w:r>
    </w:p>
    <w:p>
      <w:pPr>
        <w:pStyle w:val="Normal"/>
        <w:tabs>
          <w:tab w:val="clear" w:pos="706"/>
          <w:tab w:val="left" w:pos="567" w:leader="none"/>
        </w:tabs>
        <w:spacing w:lineRule="auto" w:line="240" w:before="0" w:after="0"/>
        <w:ind w:firstLine="567"/>
        <w:jc w:val="both"/>
        <w:rPr>
          <w:rFonts w:ascii="Times New Roman" w:hAnsi="Times New Roman"/>
          <w:sz w:val="28"/>
          <w:szCs w:val="28"/>
        </w:rPr>
      </w:pPr>
      <w:r>
        <w:rPr>
          <w:sz w:val="28"/>
          <w:szCs w:val="28"/>
        </w:rPr>
        <w:t xml:space="preserve"> </w:t>
      </w:r>
      <w:r>
        <w:rPr>
          <w:sz w:val="28"/>
          <w:szCs w:val="28"/>
        </w:rPr>
        <w:t>у 202</w:t>
      </w:r>
      <w:r>
        <w:rPr>
          <w:sz w:val="28"/>
          <w:szCs w:val="28"/>
          <w:lang w:val="ru-RU"/>
        </w:rPr>
        <w:t>2</w:t>
      </w:r>
      <w:r>
        <w:rPr>
          <w:sz w:val="28"/>
          <w:szCs w:val="28"/>
        </w:rPr>
        <w:t xml:space="preserve"> році – </w:t>
      </w:r>
      <w:r>
        <w:rPr>
          <w:sz w:val="28"/>
          <w:szCs w:val="28"/>
          <w:lang w:val="ru-RU"/>
        </w:rPr>
        <w:t>4 415,0</w:t>
      </w:r>
      <w:r>
        <w:rPr>
          <w:sz w:val="28"/>
          <w:szCs w:val="28"/>
        </w:rPr>
        <w:t xml:space="preserve"> тис. грн, у 202</w:t>
      </w:r>
      <w:r>
        <w:rPr>
          <w:sz w:val="28"/>
          <w:szCs w:val="28"/>
          <w:lang w:val="ru-RU"/>
        </w:rPr>
        <w:t>3</w:t>
      </w:r>
      <w:r>
        <w:rPr>
          <w:sz w:val="28"/>
          <w:szCs w:val="28"/>
        </w:rPr>
        <w:t xml:space="preserve"> році – </w:t>
      </w:r>
      <w:r>
        <w:rPr>
          <w:sz w:val="28"/>
          <w:szCs w:val="28"/>
          <w:lang w:val="ru-RU"/>
        </w:rPr>
        <w:t>4 750,5</w:t>
      </w:r>
      <w:r>
        <w:rPr>
          <w:sz w:val="28"/>
          <w:szCs w:val="28"/>
        </w:rPr>
        <w:t xml:space="preserve"> тис. грн, у 202</w:t>
      </w:r>
      <w:r>
        <w:rPr>
          <w:sz w:val="28"/>
          <w:szCs w:val="28"/>
          <w:lang w:val="ru-RU"/>
        </w:rPr>
        <w:t>4</w:t>
      </w:r>
      <w:r>
        <w:rPr>
          <w:sz w:val="28"/>
          <w:szCs w:val="28"/>
        </w:rPr>
        <w:t xml:space="preserve"> році  </w:t>
      </w:r>
      <w:r>
        <w:rPr>
          <w:sz w:val="28"/>
          <w:szCs w:val="28"/>
          <w:lang w:val="ru-RU"/>
        </w:rPr>
        <w:t>5 007,1</w:t>
      </w:r>
      <w:r>
        <w:rPr>
          <w:sz w:val="28"/>
          <w:szCs w:val="28"/>
        </w:rPr>
        <w:t xml:space="preserve"> тис. грн. Перелік інвестиційних проектів, термін реалізації яких більше одного року, наведено у додатку  10 до Прогнозу. Основним джерелом їх фінансування є кошти міського бюджету.</w:t>
      </w:r>
    </w:p>
    <w:p>
      <w:pPr>
        <w:pStyle w:val="Normal"/>
        <w:tabs>
          <w:tab w:val="clear" w:pos="706"/>
          <w:tab w:val="left" w:pos="567" w:leader="none"/>
        </w:tabs>
        <w:spacing w:lineRule="auto" w:line="240" w:before="0" w:after="0"/>
        <w:ind w:firstLine="709"/>
        <w:jc w:val="both"/>
        <w:rPr>
          <w:rFonts w:ascii="Times New Roman" w:hAnsi="Times New Roman"/>
          <w:b/>
          <w:b/>
          <w:sz w:val="28"/>
          <w:szCs w:val="28"/>
        </w:rPr>
      </w:pPr>
      <w:r>
        <w:rPr>
          <w:b/>
          <w:sz w:val="28"/>
          <w:szCs w:val="28"/>
        </w:rPr>
      </w:r>
    </w:p>
    <w:p>
      <w:pPr>
        <w:pStyle w:val="Normal"/>
        <w:tabs>
          <w:tab w:val="clear" w:pos="706"/>
          <w:tab w:val="left" w:pos="567" w:leader="none"/>
        </w:tabs>
        <w:spacing w:lineRule="auto" w:line="240" w:before="0" w:after="0"/>
        <w:jc w:val="center"/>
        <w:rPr>
          <w:rFonts w:ascii="Times New Roman" w:hAnsi="Times New Roman"/>
          <w:b/>
          <w:b/>
          <w:color w:val="000000"/>
          <w:sz w:val="28"/>
          <w:szCs w:val="28"/>
        </w:rPr>
      </w:pPr>
      <w:r>
        <w:rPr>
          <w:b/>
          <w:color w:val="000000"/>
          <w:sz w:val="28"/>
          <w:szCs w:val="28"/>
          <w:lang w:val="en-US"/>
        </w:rPr>
        <w:t>VIII</w:t>
      </w:r>
      <w:r>
        <w:rPr>
          <w:b/>
          <w:color w:val="000000"/>
          <w:sz w:val="28"/>
          <w:szCs w:val="28"/>
        </w:rPr>
        <w:t>. Взаємовідносини бюджету з іншими місцевими бюджетами</w:t>
      </w:r>
    </w:p>
    <w:p>
      <w:pPr>
        <w:pStyle w:val="Normal"/>
        <w:tabs>
          <w:tab w:val="clear" w:pos="706"/>
          <w:tab w:val="left" w:pos="567" w:leader="none"/>
        </w:tabs>
        <w:spacing w:lineRule="auto" w:line="240" w:before="0" w:after="0"/>
        <w:jc w:val="center"/>
        <w:rPr>
          <w:rFonts w:ascii="Times New Roman" w:hAnsi="Times New Roman"/>
          <w:b/>
          <w:b/>
          <w:color w:val="000000"/>
          <w:sz w:val="28"/>
          <w:szCs w:val="28"/>
        </w:rPr>
      </w:pPr>
      <w:r>
        <w:rPr>
          <w:b/>
          <w:color w:val="000000"/>
          <w:sz w:val="28"/>
          <w:szCs w:val="28"/>
        </w:rPr>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Основною метою побудови міжбюджетних відносин на середньостроковий період є забезпечення надання якісних послуг жителям громади та підвищення ефективності використання коштів міського бюджету.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Прогнозні показники міжбюджетних трансфертів з інших місцевих бюджетів наведено у додатку 11 до цього прогнозу.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Прогнозні показники міжбюджетних трансфертів, що надаватимуться іншим місцевим бюджетам наведено у додатку 12 до цього прогнозу.</w:t>
      </w:r>
    </w:p>
    <w:p>
      <w:pPr>
        <w:pStyle w:val="Normal"/>
        <w:tabs>
          <w:tab w:val="clear" w:pos="706"/>
          <w:tab w:val="left" w:pos="567" w:leader="none"/>
        </w:tabs>
        <w:spacing w:lineRule="auto" w:line="240" w:before="0" w:after="0"/>
        <w:ind w:firstLine="567"/>
        <w:jc w:val="both"/>
        <w:rPr>
          <w:rFonts w:ascii="Times New Roman" w:hAnsi="Times New Roman"/>
          <w:color w:val="000000"/>
          <w:sz w:val="28"/>
          <w:szCs w:val="28"/>
        </w:rPr>
      </w:pPr>
      <w:r>
        <w:rPr>
          <w:color w:val="000000"/>
          <w:sz w:val="28"/>
          <w:szCs w:val="28"/>
        </w:rPr>
        <w:t>Усі міжбюджетні трансферти, які надаватимуться з міського бюджету та, які надходитимуть до міського бюджету, передбачаються по загальному фонду міського бюджету.</w:t>
      </w:r>
    </w:p>
    <w:p>
      <w:pPr>
        <w:pStyle w:val="Normal"/>
        <w:spacing w:lineRule="auto" w:line="240" w:before="0" w:after="0"/>
        <w:ind w:firstLine="851"/>
        <w:jc w:val="both"/>
        <w:rPr>
          <w:rFonts w:ascii="Times New Roman" w:hAnsi="Times New Roman"/>
          <w:color w:val="000000"/>
          <w:sz w:val="28"/>
          <w:szCs w:val="28"/>
        </w:rPr>
      </w:pPr>
      <w:r>
        <w:rPr>
          <w:color w:val="000000"/>
          <w:sz w:val="28"/>
          <w:szCs w:val="28"/>
        </w:rPr>
      </w:r>
    </w:p>
    <w:p>
      <w:pPr>
        <w:pStyle w:val="Normal"/>
        <w:spacing w:lineRule="auto" w:line="240" w:before="0" w:after="0"/>
        <w:ind w:firstLine="851"/>
        <w:jc w:val="both"/>
        <w:rPr>
          <w:rFonts w:ascii="Times New Roman" w:hAnsi="Times New Roman"/>
          <w:sz w:val="28"/>
          <w:szCs w:val="28"/>
        </w:rPr>
      </w:pPr>
      <w:r>
        <w:rPr>
          <w:sz w:val="28"/>
          <w:szCs w:val="28"/>
        </w:rPr>
      </w:r>
    </w:p>
    <w:p>
      <w:pPr>
        <w:pStyle w:val="Normal"/>
        <w:spacing w:lineRule="auto" w:line="240" w:before="0" w:after="0"/>
        <w:jc w:val="both"/>
        <w:rPr>
          <w:rFonts w:ascii="Times New Roman" w:hAnsi="Times New Roman"/>
          <w:sz w:val="28"/>
          <w:szCs w:val="28"/>
        </w:rPr>
      </w:pPr>
      <w:r>
        <w:rPr>
          <w:rFonts w:eastAsia="Andale Sans UI" w:cs="Times New Roman"/>
          <w:sz w:val="28"/>
          <w:szCs w:val="28"/>
          <w:lang w:bidi="ar-SA"/>
        </w:rPr>
        <w:t xml:space="preserve">Начальник фінансового управління                </w:t>
      </w:r>
      <w:r>
        <w:rPr>
          <w:rFonts w:eastAsia="Andale Sans UI" w:cs="Times New Roman"/>
          <w:sz w:val="28"/>
          <w:szCs w:val="28"/>
          <w:lang w:val="ru-RU" w:bidi="ar-SA"/>
        </w:rPr>
        <w:t xml:space="preserve">                </w:t>
      </w:r>
      <w:r>
        <w:rPr>
          <w:rFonts w:eastAsia="Andale Sans UI" w:cs="Times New Roman"/>
          <w:sz w:val="28"/>
          <w:szCs w:val="28"/>
          <w:lang w:bidi="ar-SA"/>
        </w:rPr>
        <w:t xml:space="preserve">      Тетяна МІЩЕНКО</w:t>
      </w:r>
    </w:p>
    <w:sectPr>
      <w:headerReference w:type="default" r:id="rId4"/>
      <w:footerReference w:type="default" r:id="rId5"/>
      <w:type w:val="nextPage"/>
      <w:pgSz w:w="11906" w:h="16838"/>
      <w:pgMar w:left="1701" w:right="567" w:header="0" w:top="78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drawing>
        <wp:anchor behindDoc="1" distT="0" distB="0" distL="114935" distR="114935" simplePos="0" locked="0" layoutInCell="0" allowOverlap="1" relativeHeight="3">
          <wp:simplePos x="0" y="0"/>
          <wp:positionH relativeFrom="column">
            <wp:posOffset>2844800</wp:posOffset>
          </wp:positionH>
          <wp:positionV relativeFrom="paragraph">
            <wp:posOffset>-444500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t xml:space="preserve"> </w:t>
    </w:r>
    <w:r>
      <w:rPr/>
      <w:t xml:space="preserve">                                                                                                           </w:t>
    </w:r>
    <w:r>
      <w:rPr>
        <w:b/>
        <w:bCs/>
      </w:rPr>
      <w:t xml:space="preserve">                                    </w:t>
    </w:r>
  </w:p>
  <w:p>
    <w:pPr>
      <w:pStyle w:val="Style17"/>
      <w:spacing w:before="0" w:after="0"/>
      <w:jc w:val="right"/>
      <w:rPr>
        <w:b/>
        <w:b/>
        <w:bCs/>
        <w:sz w:val="28"/>
        <w:szCs w:val="28"/>
      </w:rPr>
    </w:pPr>
    <w:r>
      <w:rPr>
        <w:b/>
        <w:bCs/>
        <w:sz w:val="28"/>
        <w:szCs w:val="28"/>
      </w:rPr>
      <w:t>копія</w:t>
    </w:r>
  </w:p>
  <w:p>
    <w:pPr>
      <w:pStyle w:val="Style17"/>
      <w:spacing w:before="0" w:after="0"/>
      <w:jc w:val="center"/>
      <w:rPr>
        <w:rFonts w:cs="Times New Roman"/>
        <w:b/>
        <w:b/>
        <w:bCs/>
        <w:sz w:val="28"/>
        <w:szCs w:val="28"/>
      </w:rPr>
    </w:pPr>
    <w:r>
      <w:rPr>
        <w:rFonts w:cs="Times New Roman"/>
        <w:b/>
        <w:bCs/>
        <w:sz w:val="28"/>
        <w:szCs w:val="28"/>
      </w:rPr>
      <w:t>ПОКРОВСЬКА МІСЬКА РАДА</w:t>
    </w:r>
  </w:p>
  <w:p>
    <w:pPr>
      <w:pStyle w:val="Style17"/>
      <w:spacing w:before="0" w:after="0"/>
      <w:jc w:val="center"/>
      <w:rPr>
        <w:rFonts w:cs="Times New Roman"/>
        <w:b/>
        <w:b/>
        <w:bCs/>
        <w:sz w:val="28"/>
        <w:szCs w:val="28"/>
      </w:rPr>
    </w:pPr>
    <w:r>
      <w:rPr>
        <w:rFonts w:cs="Times New Roman"/>
        <w:b/>
        <w:bCs/>
        <w:sz w:val="28"/>
        <w:szCs w:val="28"/>
      </w:rPr>
      <w:t>ДНІПРОПЕТРОВСЬКОЇ ОБЛАСТІ</w:t>
    </w:r>
  </w:p>
  <w:p>
    <w:pPr>
      <w:pStyle w:val="Style17"/>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22225</wp:posOffset>
              </wp:positionV>
              <wp:extent cx="6117590" cy="12065"/>
              <wp:effectExtent l="0" t="0" r="0" b="0"/>
              <wp:wrapNone/>
              <wp:docPr id="2" name="Фігура1"/>
              <a:graphic xmlns:a="http://schemas.openxmlformats.org/drawingml/2006/main">
                <a:graphicData uri="http://schemas.microsoft.com/office/word/2010/wordprocessingShape">
                  <wps:wsp>
                    <wps:cNvSpPr/>
                    <wps:spPr>
                      <a:xfrm flipV="1">
                        <a:off x="0" y="0"/>
                        <a:ext cx="611712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75pt" to="482.9pt,2.4pt" ID="Фігура1" stroked="t" style="position:absolute;flip:y">
              <v:stroke color="black" weight="17640" joinstyle="round" endcap="flat"/>
              <v:fill o:detectmouseclick="t" on="false"/>
              <w10:wrap type="none"/>
            </v:line>
          </w:pict>
        </mc:Fallback>
      </mc:AlternateContent>
    </w:r>
  </w:p>
  <w:p>
    <w:pPr>
      <w:pStyle w:val="Style17"/>
      <w:spacing w:before="0" w:after="0"/>
      <w:jc w:val="center"/>
      <w:rPr>
        <w:rFonts w:cs="Times New Roman"/>
        <w:b/>
        <w:b/>
        <w:sz w:val="28"/>
        <w:szCs w:val="28"/>
      </w:rPr>
    </w:pPr>
    <w:r>
      <w:rPr>
        <w:rFonts w:cs="Times New Roman"/>
        <w:b/>
        <w:sz w:val="28"/>
        <w:szCs w:val="28"/>
      </w:rPr>
      <w:t xml:space="preserve"> </w:t>
    </w:r>
    <w:r>
      <w:rPr>
        <w:rFonts w:cs="Times New Roman"/>
        <w:b/>
        <w:sz w:val="28"/>
        <w:szCs w:val="28"/>
      </w:rPr>
      <w:t>РІШЕННЯ</w:t>
    </w:r>
  </w:p>
  <w:p>
    <w:pPr>
      <w:pStyle w:val="Style17"/>
      <w:spacing w:before="0" w:after="0"/>
      <w:jc w:val="center"/>
      <w:rPr>
        <w:sz w:val="16"/>
        <w:szCs w:val="16"/>
      </w:rPr>
    </w:pPr>
    <w:r>
      <w:rPr>
        <w:sz w:val="16"/>
        <w:szCs w:val="16"/>
      </w:rPr>
    </w:r>
  </w:p>
  <w:p>
    <w:pPr>
      <w:pStyle w:val="BodyText2"/>
      <w:ind w:hanging="0"/>
      <w:jc w:val="both"/>
      <w:rPr/>
    </w:pPr>
    <w:r>
      <w:rPr>
        <w:rFonts w:eastAsia="Andale Sans UI;Arial Unicode MS" w:cs="Tahoma"/>
        <w:color w:val="auto"/>
        <w:kern w:val="2"/>
        <w:sz w:val="28"/>
        <w:szCs w:val="28"/>
        <w:lang w:val="uk-UA" w:eastAsia="zh-CN" w:bidi="hi-IN"/>
      </w:rPr>
      <w:t>20. 08. 2021</w:t>
      <w:tab/>
      <w:tab/>
      <w:tab/>
    </w:r>
    <w:r>
      <w:rPr>
        <w:sz w:val="28"/>
        <w:szCs w:val="28"/>
      </w:rPr>
      <w:t xml:space="preserve">                    м.Покров                                 </w:t>
      <w:tab/>
      <w:tab/>
      <w:t xml:space="preserve">       № </w:t>
    </w:r>
    <w:r>
      <w:rPr>
        <w:rFonts w:eastAsia="Andale Sans UI;Arial Unicode MS" w:cs="Tahoma"/>
        <w:color w:val="auto"/>
        <w:kern w:val="2"/>
        <w:sz w:val="28"/>
        <w:szCs w:val="28"/>
        <w:lang w:val="uk-UA" w:eastAsia="zh-CN" w:bidi="hi-IN"/>
      </w:rPr>
      <w:t>3</w:t>
    </w:r>
  </w:p>
  <w:p>
    <w:pPr>
      <w:pStyle w:val="BodyText2"/>
      <w:ind w:hanging="0"/>
      <w:jc w:val="both"/>
      <w:rPr>
        <w:rFonts w:ascii="Times New Roman" w:hAnsi="Times New Roman" w:eastAsia="Andale Sans UI;Arial Unicode MS" w:cs="Tahoma"/>
        <w:color w:val="auto"/>
        <w:kern w:val="2"/>
        <w:sz w:val="28"/>
        <w:szCs w:val="28"/>
        <w:lang w:val="uk-UA" w:eastAsia="zh-CN" w:bidi="hi-IN"/>
      </w:rPr>
    </w:pPr>
    <w:r>
      <w:rPr>
        <w:rFonts w:eastAsia="Andale Sans UI;Arial Unicode MS" w:cs="Tahoma"/>
        <w:color w:val="auto"/>
        <w:kern w:val="2"/>
        <w:sz w:val="28"/>
        <w:szCs w:val="28"/>
        <w:lang w:val="uk-UA" w:eastAsia="zh-CN" w:bidi="hi-IN"/>
      </w:rPr>
    </w:r>
  </w:p>
  <w:p>
    <w:pPr>
      <w:pStyle w:val="BodyText2"/>
      <w:ind w:hanging="0"/>
      <w:jc w:val="both"/>
      <w:rPr/>
    </w:pPr>
    <w:r>
      <w:rPr>
        <w:sz w:val="28"/>
        <w:szCs w:val="28"/>
      </w:rPr>
      <w:t xml:space="preserve">                                                    </w:t>
    </w:r>
    <w:r>
      <w:rPr>
        <w:sz w:val="28"/>
        <w:szCs w:val="28"/>
      </w:rPr>
      <w:t>(11 сесія 8 скликання)</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a"/>
    <w:uiPriority w:val="99"/>
    <w:qFormat/>
    <w:rsid w:val="00fb7be6"/>
    <w:rPr>
      <w:rFonts w:ascii="Times New Roman" w:hAnsi="Times New Roman" w:eastAsia="Andale Sans UI;Arial Unicode MS" w:cs="Mangal"/>
      <w:kern w:val="2"/>
      <w:szCs w:val="21"/>
    </w:rPr>
  </w:style>
  <w:style w:type="character" w:styleId="Style15" w:customStyle="1">
    <w:name w:val="Текст выноски Знак"/>
    <w:basedOn w:val="DefaultParagraphFont"/>
    <w:link w:val="ac"/>
    <w:uiPriority w:val="99"/>
    <w:semiHidden/>
    <w:qFormat/>
    <w:rsid w:val="005e2917"/>
    <w:rPr>
      <w:rFonts w:ascii="Segoe UI" w:hAnsi="Segoe UI" w:eastAsia="Andale Sans UI;Arial Unicode MS" w:cs="Mangal"/>
      <w:kern w:val="2"/>
      <w:sz w:val="18"/>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2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Style21">
    <w:name w:val="Title"/>
    <w:basedOn w:val="Normal"/>
    <w:next w:val="Style17"/>
    <w:qFormat/>
    <w:pPr>
      <w:keepNext w:val="true"/>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BodyText2">
    <w:name w:val="Body Text 2"/>
    <w:basedOn w:val="Normal"/>
    <w:qFormat/>
    <w:pPr>
      <w:ind w:firstLine="720"/>
      <w:jc w:val="center"/>
    </w:pPr>
    <w:rPr>
      <w:szCs w:val="20"/>
    </w:rPr>
  </w:style>
  <w:style w:type="paragraph" w:styleId="Style22" w:customStyle="1">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3">
    <w:name w:val="Header"/>
    <w:basedOn w:val="Normal"/>
    <w:pPr>
      <w:suppressLineNumbers/>
      <w:tabs>
        <w:tab w:val="clear" w:pos="706"/>
        <w:tab w:val="center" w:pos="4819" w:leader="none"/>
        <w:tab w:val="right" w:pos="9638" w:leader="none"/>
      </w:tabs>
    </w:pPr>
    <w:rPr/>
  </w:style>
  <w:style w:type="paragraph" w:styleId="Style24">
    <w:name w:val="Footer"/>
    <w:basedOn w:val="Normal"/>
    <w:link w:val="ab"/>
    <w:uiPriority w:val="99"/>
    <w:unhideWhenUsed/>
    <w:rsid w:val="00fb7be6"/>
    <w:pPr>
      <w:tabs>
        <w:tab w:val="clear" w:pos="706"/>
        <w:tab w:val="center" w:pos="4819" w:leader="none"/>
        <w:tab w:val="right" w:pos="9639" w:leader="none"/>
      </w:tabs>
    </w:pPr>
    <w:rPr>
      <w:rFonts w:cs="Mangal"/>
      <w:szCs w:val="21"/>
    </w:rPr>
  </w:style>
  <w:style w:type="paragraph" w:styleId="BalloonText">
    <w:name w:val="Balloon Text"/>
    <w:basedOn w:val="Normal"/>
    <w:link w:val="ad"/>
    <w:uiPriority w:val="99"/>
    <w:semiHidden/>
    <w:unhideWhenUsed/>
    <w:qFormat/>
    <w:rsid w:val="005e2917"/>
    <w:pPr/>
    <w:rPr>
      <w:rFonts w:ascii="Segoe UI" w:hAnsi="Segoe UI" w:cs="Mangal"/>
      <w:sz w:val="18"/>
      <w:szCs w:val="16"/>
    </w:rPr>
  </w:style>
  <w:style w:type="paragraph" w:styleId="14" w:customStyle="1">
    <w:name w:val="Обычный + 14 пт"/>
    <w:basedOn w:val="Normal"/>
    <w:uiPriority w:val="99"/>
    <w:qFormat/>
    <w:rsid w:val="00725b56"/>
    <w:pPr>
      <w:tabs>
        <w:tab w:val="clear" w:pos="706"/>
        <w:tab w:val="left" w:pos="540" w:leader="none"/>
      </w:tabs>
      <w:jc w:val="both"/>
    </w:pPr>
    <w:rPr>
      <w:rFonts w:eastAsia="Times New Roman" w:cs="Times New Roman"/>
      <w:sz w:val="28"/>
      <w:szCs w:val="28"/>
      <w:lang w:bidi="ar-SA"/>
    </w:rPr>
  </w:style>
  <w:style w:type="paragraph" w:styleId="ListParagraph">
    <w:name w:val="List Paragraph"/>
    <w:basedOn w:val="Normal"/>
    <w:uiPriority w:val="34"/>
    <w:qFormat/>
    <w:rsid w:val="00a67f87"/>
    <w:pPr>
      <w:spacing w:before="0" w:after="0"/>
      <w:ind w:left="720" w:hanging="0"/>
      <w:contextualSpacing/>
    </w:pPr>
    <w:rPr>
      <w:rFonts w:cs="Mangal"/>
      <w:szCs w:val="21"/>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uk-UA"/>
    </w:rPr>
  </w:style>
  <w:style w:type="paragraph" w:styleId="Rvps122">
    <w:name w:val="rvps122"/>
    <w:basedOn w:val="Normal"/>
    <w:qFormat/>
    <w:pPr>
      <w:spacing w:lineRule="auto" w:line="240" w:beforeAutospacing="1" w:afterAutospacing="1"/>
    </w:pPr>
    <w:rPr>
      <w:rFonts w:ascii="Times New Roman" w:hAnsi="Times New Roman" w:eastAsia="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LibreOffice/7.0.3.1$Windows_X86_64 LibreOffice_project/d7547858d014d4cf69878db179d326fc3483e082</Application>
  <Pages>14</Pages>
  <Words>3879</Words>
  <Characters>28223</Characters>
  <CharactersWithSpaces>32695</CharactersWithSpaces>
  <Paragraphs>292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2021-04-19T09:22:00Z</dcterms:created>
  <dc:creator/>
  <dc:description/>
  <dc:language>uk-UA</dc:language>
  <cp:lastModifiedBy/>
  <cp:lastPrinted>2021-05-25T10:01:00Z</cp:lastPrinted>
  <dcterms:modified xsi:type="dcterms:W3CDTF">2021-08-20T08:42:34Z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