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right="-142" w:hanging="0"/>
        <w:jc w:val="center"/>
        <w:rPr>
          <w:i w:val="false"/>
          <w:i w:val="false"/>
          <w:iCs w:val="false"/>
          <w:color w:val="000000"/>
        </w:rPr>
      </w:pPr>
      <w:r>
        <w:rPr>
          <w:rFonts w:eastAsia="Times New Roman" w:cs="Times New Roman"/>
          <w:i w:val="false"/>
          <w:iCs w:val="false"/>
          <w:color w:val="000000"/>
          <w:sz w:val="24"/>
          <w:szCs w:val="24"/>
          <w:lang w:eastAsia="zh-CN"/>
        </w:rPr>
        <w:t xml:space="preserve">                                                                                                      </w:t>
      </w:r>
      <w:r>
        <w:rPr>
          <w:rFonts w:eastAsia="Times New Roman" w:cs="Times New Roman"/>
          <w:i w:val="false"/>
          <w:iCs w:val="false"/>
          <w:color w:val="000000"/>
          <w:kern w:val="0"/>
          <w:sz w:val="24"/>
          <w:szCs w:val="24"/>
          <w:u w:val="none"/>
          <w:lang w:val="uk-UA" w:eastAsia="ar-SA" w:bidi="ar-SA"/>
        </w:rPr>
        <w:t>З</w:t>
      </w:r>
      <w:r>
        <w:rPr>
          <w:rFonts w:eastAsia="Times New Roman"/>
          <w:i w:val="false"/>
          <w:iCs w:val="false"/>
          <w:color w:val="000000"/>
          <w:lang w:val="uk-UA" w:eastAsia="zh-CN"/>
        </w:rPr>
        <w:t xml:space="preserve">АТВЕРДЖЕНО                      </w:t>
        <w:tab/>
        <w:tab/>
        <w:tab/>
        <w:tab/>
        <w:tab/>
        <w:tab/>
        <w:tab/>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right="-142" w:hanging="0"/>
        <w:jc w:val="center"/>
        <w:rPr>
          <w:i w:val="false"/>
          <w:i w:val="false"/>
          <w:iCs w:val="false"/>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spacing w:lineRule="auto" w:line="240" w:before="0" w:after="0"/>
        <w:ind w:right="-142" w:hanging="0"/>
        <w:rPr>
          <w:rFonts w:ascii="Times New Roman" w:hAnsi="Times New Roman" w:eastAsia="Calibri" w:cs="Times New Roman"/>
          <w:i w:val="false"/>
          <w:i w:val="false"/>
          <w:iCs w:val="false"/>
          <w:color w:val="000000"/>
          <w:u w:val="none"/>
          <w:lang w:val="uk-UA"/>
        </w:rPr>
      </w:pPr>
      <w:r>
        <w:rPr>
          <w:rFonts w:eastAsia="Calibri" w:cs="Times New Roman"/>
          <w:i w:val="false"/>
          <w:iCs w:val="false"/>
          <w:color w:val="000000"/>
          <w:u w:val="none"/>
          <w:lang w:val="uk-UA"/>
        </w:rPr>
      </w:r>
    </w:p>
    <w:p>
      <w:pPr>
        <w:pStyle w:val="Normal"/>
        <w:spacing w:lineRule="auto" w:line="240" w:before="0" w:after="0"/>
        <w:rPr>
          <w:rFonts w:ascii="Times New Roman" w:hAnsi="Times New Roman" w:eastAsia="Calibri" w:cs="Times New Roman"/>
          <w:i w:val="false"/>
          <w:i w:val="false"/>
          <w:iCs w:val="false"/>
          <w:color w:val="000000"/>
          <w:lang w:val="uk-UA"/>
        </w:rPr>
      </w:pPr>
      <w:r>
        <w:rPr>
          <w:rFonts w:eastAsia="Calibri" w:cs="Times New Roman"/>
          <w:i w:val="false"/>
          <w:iCs w:val="false"/>
          <w:color w:val="000000"/>
          <w:lang w:val="uk-UA"/>
        </w:rPr>
      </w:r>
    </w:p>
    <w:p>
      <w:pPr>
        <w:pStyle w:val="Normal"/>
        <w:spacing w:lineRule="auto" w:line="240" w:before="0" w:after="0"/>
        <w:jc w:val="center"/>
        <w:rPr>
          <w:i w:val="false"/>
          <w:i w:val="false"/>
          <w:iCs w:val="false"/>
          <w:color w:val="000000"/>
        </w:rPr>
      </w:pPr>
      <w:r>
        <w:rPr>
          <w:rFonts w:eastAsia="Calibri" w:cs="Times New Roman"/>
          <w:i w:val="false"/>
          <w:iCs w:val="false"/>
          <w:color w:val="000000"/>
          <w:sz w:val="24"/>
          <w:szCs w:val="24"/>
          <w:lang w:val="uk-UA"/>
        </w:rPr>
        <w:t>ІНФОРМАЦІЙНА КАРТКА АДМІНІСТРАТИВНОЇ ПОСЛУГИ</w:t>
      </w:r>
      <w:r>
        <w:rPr>
          <w:rFonts w:eastAsia="Calibri" w:cs="Times New Roman"/>
          <w:i w:val="false"/>
          <w:iCs w:val="false"/>
          <w:color w:val="000000"/>
          <w:sz w:val="24"/>
          <w:szCs w:val="24"/>
        </w:rPr>
        <w:t xml:space="preserve"> </w:t>
      </w:r>
      <w:r>
        <w:rPr>
          <w:rFonts w:eastAsia="Calibri" w:cs="Times New Roman"/>
          <w:i w:val="false"/>
          <w:iCs w:val="false"/>
          <w:color w:val="000000"/>
          <w:sz w:val="24"/>
          <w:szCs w:val="24"/>
          <w:lang w:val="uk-UA"/>
        </w:rPr>
        <w:t>№</w:t>
      </w:r>
      <w:r>
        <w:rPr>
          <w:rFonts w:eastAsia="Calibri" w:cs="Times New Roman"/>
          <w:i w:val="false"/>
          <w:iCs w:val="false"/>
          <w:color w:val="000000"/>
          <w:sz w:val="24"/>
          <w:szCs w:val="24"/>
        </w:rPr>
        <w:t xml:space="preserve"> 07-5.1</w:t>
      </w:r>
    </w:p>
    <w:p>
      <w:pPr>
        <w:pStyle w:val="Normal"/>
        <w:spacing w:lineRule="auto" w:line="240" w:before="0" w:after="0"/>
        <w:jc w:val="center"/>
        <w:rPr>
          <w:color w:val="000000"/>
        </w:rPr>
      </w:pPr>
      <w:r>
        <w:rPr>
          <w:rFonts w:eastAsia="Calibri" w:cs="Times New Roman"/>
          <w:b/>
          <w:i w:val="false"/>
          <w:iCs w:val="false"/>
          <w:color w:val="000000"/>
          <w:sz w:val="24"/>
          <w:szCs w:val="24"/>
          <w:u w:val="single"/>
          <w:lang w:val="uk-UA"/>
        </w:rPr>
        <w:t>ВЗЯТТЯ НА СОЦІАЛЬНИЙ КВАРТИРНИЙ ОБЛІК</w:t>
      </w:r>
    </w:p>
    <w:p>
      <w:pPr>
        <w:pStyle w:val="Normal"/>
        <w:spacing w:lineRule="auto" w:line="240" w:before="0" w:after="0"/>
        <w:jc w:val="center"/>
        <w:rPr>
          <w:rFonts w:eastAsia="Calibri" w:cs="Times New Roman"/>
          <w:b/>
          <w:b/>
          <w:i w:val="false"/>
          <w:i w:val="false"/>
          <w:iCs w:val="false"/>
          <w:sz w:val="20"/>
          <w:szCs w:val="20"/>
          <w:u w:val="single"/>
          <w:lang w:val="uk-UA"/>
        </w:rPr>
      </w:pPr>
      <w:r>
        <w:rPr>
          <w:rFonts w:eastAsia="Calibri" w:cs="Times New Roman"/>
          <w:b/>
          <w:i w:val="false"/>
          <w:iCs w:val="false"/>
          <w:sz w:val="20"/>
          <w:szCs w:val="20"/>
          <w:u w:val="single"/>
          <w:lang w:val="uk-UA"/>
        </w:rPr>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jc w:val="center"/>
        <w:rPr>
          <w:rFonts w:ascii="Times New Roman" w:hAnsi="Times New Roman" w:eastAsia="Calibri" w:cs="Times New Roman"/>
          <w:i w:val="false"/>
          <w:i w:val="false"/>
          <w:iCs w:val="false"/>
          <w:color w:val="000000"/>
          <w:sz w:val="20"/>
          <w:szCs w:val="20"/>
          <w:lang w:val="uk-UA"/>
        </w:rPr>
      </w:pPr>
      <w:r>
        <w:rPr>
          <w:rFonts w:eastAsia="Calibri" w:cs="Times New Roman"/>
          <w:i w:val="false"/>
          <w:iCs w:val="false"/>
          <w:color w:val="000000"/>
          <w:sz w:val="20"/>
          <w:szCs w:val="20"/>
          <w:lang w:val="uk-UA"/>
        </w:rPr>
      </w:r>
    </w:p>
    <w:tbl>
      <w:tblPr>
        <w:tblStyle w:val="1"/>
        <w:tblW w:w="9586" w:type="dxa"/>
        <w:jc w:val="right"/>
        <w:tblInd w:w="0" w:type="dxa"/>
        <w:tblLayout w:type="fixed"/>
        <w:tblCellMar>
          <w:top w:w="55" w:type="dxa"/>
          <w:left w:w="108" w:type="dxa"/>
          <w:bottom w:w="55" w:type="dxa"/>
          <w:right w:w="108" w:type="dxa"/>
        </w:tblCellMar>
        <w:tblLook w:firstRow="1" w:noVBand="1" w:lastRow="0" w:firstColumn="1" w:lastColumn="0" w:noHBand="0" w:val="04a0"/>
      </w:tblPr>
      <w:tblGrid>
        <w:gridCol w:w="661"/>
        <w:gridCol w:w="2956"/>
        <w:gridCol w:w="2281"/>
        <w:gridCol w:w="1755"/>
        <w:gridCol w:w="1933"/>
      </w:tblGrid>
      <w:tr>
        <w:trPr>
          <w:trHeight w:val="165" w:hRule="atLeast"/>
        </w:trPr>
        <w:tc>
          <w:tcPr>
            <w:tcW w:w="9586"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center"/>
              <w:rPr>
                <w:b/>
                <w:b/>
                <w:bCs/>
                <w:color w:val="000000"/>
                <w:sz w:val="24"/>
                <w:szCs w:val="24"/>
              </w:rPr>
            </w:pPr>
            <w:r>
              <w:rPr>
                <w:rFonts w:eastAsia="Calibri" w:cs="Times New Roman"/>
                <w:b/>
                <w:bCs/>
                <w:i w:val="false"/>
                <w:iCs w:val="false"/>
                <w:color w:val="000000"/>
                <w:sz w:val="24"/>
                <w:szCs w:val="24"/>
                <w:lang w:val="uk-UA"/>
              </w:rPr>
              <w:t>1. Інформація про суб’єкта надання адміністративної послуги</w:t>
            </w:r>
          </w:p>
        </w:tc>
      </w:tr>
      <w:tr>
        <w:trPr>
          <w:trHeight w:val="913" w:hRule="atLeast"/>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1.1.</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кий район,</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1.2.</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1.3.</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left"/>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jc w:val="left"/>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jc w:val="left"/>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jc w:val="left"/>
              <w:rPr>
                <w:i w:val="false"/>
                <w:i w:val="false"/>
                <w:iCs w:val="false"/>
                <w:color w:val="000000"/>
              </w:rPr>
            </w:pPr>
            <w:r>
              <w:rPr>
                <w:i w:val="false"/>
                <w:iCs w:val="false"/>
                <w:color w:val="000000"/>
                <w:sz w:val="20"/>
              </w:rPr>
            </w:r>
          </w:p>
        </w:tc>
      </w:tr>
      <w:tr>
        <w:trPr/>
        <w:tc>
          <w:tcPr>
            <w:tcW w:w="9586" w:type="dxa"/>
            <w:gridSpan w:val="5"/>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rPr>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color w:val="000000"/>
                <w:sz w:val="24"/>
                <w:szCs w:val="24"/>
                <w:lang w:val="uk-UA"/>
              </w:rPr>
            </w:pPr>
            <w:r>
              <w:rPr>
                <w:color w:val="000000"/>
                <w:sz w:val="24"/>
                <w:szCs w:val="24"/>
                <w:lang w:val="uk-UA"/>
              </w:rPr>
              <w:t>Найменування ЦНАП (його ТП та /або ВРМ)</w:t>
            </w:r>
          </w:p>
        </w:tc>
        <w:tc>
          <w:tcPr>
            <w:tcW w:w="228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55"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93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 та/або ВРМ)</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8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5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jc w:val="left"/>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933"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jc w:val="left"/>
              <w:rPr>
                <w:i w:val="false"/>
                <w:i w:val="false"/>
                <w:iCs w:val="false"/>
                <w:color w:val="000000"/>
                <w:sz w:val="24"/>
                <w:szCs w:val="24"/>
              </w:rPr>
            </w:pPr>
            <w:r>
              <w:rPr>
                <w:rFonts w:eastAsia="Calibri" w:cs="Times New Roman"/>
                <w:i w:val="false"/>
                <w:iCs w:val="false"/>
                <w:color w:val="000000"/>
                <w:sz w:val="24"/>
                <w:szCs w:val="24"/>
                <w:lang w:val="uk-UA"/>
              </w:rPr>
              <w:t>Понеділок,</w:t>
            </w:r>
          </w:p>
          <w:p>
            <w:pPr>
              <w:pStyle w:val="Normal"/>
              <w:widowControl w:val="false"/>
              <w:spacing w:lineRule="auto" w:line="240" w:before="0" w:after="0"/>
              <w:ind w:left="34" w:right="-284" w:hanging="0"/>
              <w:jc w:val="left"/>
              <w:rPr>
                <w:i w:val="false"/>
                <w:i w:val="false"/>
                <w:iCs w:val="false"/>
                <w:color w:val="000000"/>
              </w:rPr>
            </w:pPr>
            <w:r>
              <w:rPr>
                <w:rFonts w:eastAsia="Calibri" w:cs="Times New Roman"/>
                <w:i w:val="false"/>
                <w:iCs w:val="false"/>
                <w:color w:val="000000"/>
                <w:sz w:val="24"/>
                <w:szCs w:val="24"/>
                <w:lang w:val="uk-UA"/>
              </w:rPr>
              <w:t>середа,</w:t>
            </w:r>
            <w:r>
              <w:rPr>
                <w:rFonts w:eastAsia="Calibri" w:cs="Times New Roman"/>
                <w:i w:val="false"/>
                <w:iCs w:val="false"/>
                <w:color w:val="000000"/>
                <w:sz w:val="24"/>
                <w:szCs w:val="24"/>
              </w:rPr>
              <w:t xml:space="preserve"> </w:t>
            </w:r>
            <w:r>
              <w:rPr>
                <w:rFonts w:eastAsia="Calibri" w:cs="Times New Roman"/>
                <w:i w:val="false"/>
                <w:iCs w:val="false"/>
                <w:color w:val="000000"/>
                <w:sz w:val="24"/>
                <w:szCs w:val="24"/>
                <w:lang w:val="uk-UA"/>
              </w:rPr>
              <w:t>четвер,</w:t>
            </w:r>
            <w:r>
              <w:rPr>
                <w:rFonts w:eastAsia="Calibri" w:cs="Times New Roman"/>
                <w:i w:val="false"/>
                <w:iCs w:val="false"/>
                <w:color w:val="000000"/>
                <w:sz w:val="24"/>
                <w:szCs w:val="24"/>
              </w:rPr>
              <w:t xml:space="preserve"> </w:t>
            </w:r>
            <w:r>
              <w:rPr>
                <w:rFonts w:eastAsia="Calibri" w:cs="Times New Roman"/>
                <w:i w:val="false"/>
                <w:iCs w:val="false"/>
                <w:color w:val="000000"/>
                <w:sz w:val="24"/>
                <w:szCs w:val="24"/>
                <w:lang w:val="uk-UA"/>
              </w:rPr>
              <w:t>п’ятниця: з</w:t>
            </w:r>
          </w:p>
          <w:p>
            <w:pPr>
              <w:pStyle w:val="Normal"/>
              <w:widowControl w:val="false"/>
              <w:spacing w:lineRule="auto" w:line="240" w:before="0" w:after="0"/>
              <w:ind w:left="34" w:right="-284" w:hanging="0"/>
              <w:jc w:val="left"/>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jc w:val="left"/>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586" w:type="dxa"/>
            <w:gridSpan w:val="5"/>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586" w:type="dxa"/>
            <w:gridSpan w:val="5"/>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center"/>
              <w:rPr>
                <w:rFonts w:eastAsia="Calibri" w:cs="Times New Roman"/>
                <w:b/>
                <w:b/>
                <w:bCs/>
                <w:i w:val="false"/>
                <w:i w:val="false"/>
                <w:iCs w:val="false"/>
                <w:color w:val="000000"/>
                <w:sz w:val="24"/>
                <w:szCs w:val="24"/>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Кодекси, Закони України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ind w:left="0" w:right="0" w:firstLine="340"/>
              <w:jc w:val="left"/>
              <w:rPr>
                <w:i w:val="false"/>
                <w:i w:val="false"/>
                <w:iCs w:val="false"/>
                <w:color w:val="000000"/>
                <w:lang w:val="uk-UA"/>
              </w:rPr>
            </w:pPr>
            <w:r>
              <w:rPr>
                <w:rFonts w:eastAsia="Calibri" w:cs="Times New Roman"/>
                <w:i w:val="false"/>
                <w:iCs w:val="false"/>
                <w:color w:val="000000"/>
                <w:sz w:val="24"/>
                <w:szCs w:val="24"/>
                <w:lang w:val="uk-UA"/>
              </w:rPr>
              <w:t>Житловий Кодекс України, Закони України “Про адміністративну процедуру”, “Про адміністративні послуги”, “Про місцеве самоврядування в Україні”, “Про житловий фонд соціального призначення”</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sz w:val="24"/>
                <w:szCs w:val="24"/>
                <w:lang w:val="uk-UA"/>
              </w:rPr>
            </w:pPr>
            <w:r>
              <w:rPr>
                <w:sz w:val="24"/>
                <w:szCs w:val="24"/>
                <w:lang w:val="uk-UA"/>
              </w:rPr>
              <w:t>4.</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Кабінету Міністрів України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ind w:left="0" w:right="0" w:firstLine="340"/>
              <w:jc w:val="left"/>
              <w:rPr>
                <w:i w:val="false"/>
                <w:i w:val="false"/>
                <w:iCs w:val="false"/>
                <w:color w:val="000000"/>
                <w:sz w:val="24"/>
                <w:szCs w:val="24"/>
                <w:lang w:val="uk-UA"/>
              </w:rPr>
            </w:pPr>
            <w:r>
              <w:rPr>
                <w:i w:val="false"/>
                <w:iCs w:val="false"/>
                <w:color w:val="000000"/>
                <w:sz w:val="24"/>
                <w:szCs w:val="24"/>
                <w:lang w:val="uk-UA"/>
              </w:rPr>
              <w:t>Постанова Кабінету Міністрів України від 23.07.2008 № 682 “Деякі питання реалізації Закону України “Про житловий фонд соціального призначення”</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sz w:val="24"/>
                <w:szCs w:val="24"/>
                <w:lang w:val="uk-UA"/>
              </w:rPr>
            </w:pPr>
            <w:r>
              <w:rPr>
                <w:sz w:val="24"/>
                <w:szCs w:val="24"/>
                <w:lang w:val="uk-UA"/>
              </w:rPr>
              <w:t>5.</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центральних органів виконавчої влади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left"/>
              <w:rPr>
                <w:i w:val="false"/>
                <w:i w:val="false"/>
                <w:iCs w:val="false"/>
                <w:color w:val="000000"/>
                <w:sz w:val="24"/>
                <w:szCs w:val="24"/>
                <w:lang w:val="uk-UA"/>
              </w:rPr>
            </w:pPr>
            <w:r>
              <w:rPr>
                <w:i w:val="false"/>
                <w:iCs w:val="false"/>
                <w:color w:val="000000"/>
                <w:sz w:val="24"/>
                <w:szCs w:val="24"/>
                <w:lang w:val="uk-UA"/>
              </w:rPr>
              <w:t>---</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sz w:val="24"/>
                <w:szCs w:val="24"/>
                <w:lang w:val="uk-UA"/>
              </w:rPr>
            </w:pPr>
            <w:r>
              <w:rPr>
                <w:sz w:val="24"/>
                <w:szCs w:val="24"/>
                <w:lang w:val="uk-UA"/>
              </w:rPr>
              <w:t>6.</w:t>
            </w:r>
          </w:p>
        </w:tc>
        <w:tc>
          <w:tcPr>
            <w:tcW w:w="2956" w:type="dxa"/>
            <w:tcBorders>
              <w:left w:val="single" w:sz="4" w:space="0" w:color="000000"/>
              <w:bottom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місцевих органів виконавчої влади, органів місцевого самоврядування</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left"/>
              <w:rPr>
                <w:i w:val="false"/>
                <w:i w:val="false"/>
                <w:iCs w:val="false"/>
                <w:color w:val="000000"/>
                <w:sz w:val="24"/>
                <w:szCs w:val="24"/>
                <w:lang w:val="uk-UA"/>
              </w:rPr>
            </w:pPr>
            <w:r>
              <w:rPr>
                <w:i w:val="false"/>
                <w:iCs w:val="false"/>
                <w:color w:val="000000"/>
                <w:sz w:val="24"/>
                <w:szCs w:val="24"/>
                <w:lang w:val="uk-UA"/>
              </w:rPr>
              <w:t>---</w:t>
            </w:r>
          </w:p>
        </w:tc>
      </w:tr>
      <w:tr>
        <w:trPr/>
        <w:tc>
          <w:tcPr>
            <w:tcW w:w="9586" w:type="dxa"/>
            <w:gridSpan w:val="5"/>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Підстави для о</w:t>
            </w:r>
            <w:r>
              <w:rPr>
                <w:rFonts w:eastAsia="Calibri" w:cs="Times New Roman"/>
                <w:i w:val="false"/>
                <w:iCs w:val="false"/>
                <w:color w:val="000000"/>
                <w:kern w:val="0"/>
                <w:sz w:val="24"/>
                <w:szCs w:val="24"/>
                <w:lang w:val="uk-UA" w:eastAsia="ru-RU" w:bidi="ar-SA"/>
              </w:rPr>
              <w:t>тримання</w:t>
            </w:r>
            <w:r>
              <w:rPr>
                <w:rFonts w:eastAsia="Calibri" w:cs="Times New Roman"/>
                <w:i w:val="false"/>
                <w:iCs w:val="false"/>
                <w:color w:val="000000"/>
                <w:sz w:val="24"/>
                <w:szCs w:val="24"/>
                <w:lang w:val="uk-UA"/>
              </w:rPr>
              <w:t xml:space="preserve">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ind w:left="0" w:right="0" w:firstLine="34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Звернення  громадян щодо отримання адміністративної послуги, для яких:</w:t>
            </w:r>
          </w:p>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соціальне житло є єдиним місцем проживання;</w:t>
            </w:r>
          </w:p>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shd w:fill="FFFFFF" w:val="clear"/>
                <w:lang w:val="uk-UA"/>
              </w:rPr>
              <w:t>середньомісячний сукупний дохід яких за попередній рік з розрахунку на одну особу в сумі менший від величини опосередкованої вартості найму житла в даному населеному пункті та прожиткового мінімуму, встановленого законодавством.</w:t>
            </w:r>
          </w:p>
          <w:p>
            <w:pPr>
              <w:pStyle w:val="Normal"/>
              <w:widowControl w:val="false"/>
              <w:suppressAutoHyphens w:val="true"/>
              <w:spacing w:lineRule="auto" w:line="240" w:before="0" w:after="0"/>
              <w:ind w:left="0" w:right="0" w:firstLine="340"/>
              <w:jc w:val="left"/>
              <w:rPr>
                <w:i w:val="false"/>
                <w:i w:val="false"/>
                <w:iCs w:val="false"/>
                <w:color w:val="000000"/>
                <w:sz w:val="24"/>
                <w:szCs w:val="24"/>
              </w:rPr>
            </w:pPr>
            <w:r>
              <w:rPr>
                <w:rFonts w:eastAsia="Calibri" w:cs="Times New Roman"/>
                <w:b w:val="false"/>
                <w:i w:val="false"/>
                <w:iCs w:val="false"/>
                <w:caps w:val="false"/>
                <w:smallCaps w:val="false"/>
                <w:color w:val="000000"/>
                <w:spacing w:val="0"/>
                <w:kern w:val="0"/>
                <w:sz w:val="24"/>
                <w:szCs w:val="24"/>
                <w:shd w:fill="FFFFFF" w:val="clear"/>
                <w:lang w:val="uk-UA" w:eastAsia="ru-RU" w:bidi="ar-SA"/>
              </w:rPr>
              <w:t>В</w:t>
            </w:r>
            <w:r>
              <w:rPr>
                <w:rFonts w:eastAsia="Calibri" w:cs="Times New Roman"/>
                <w:b w:val="false"/>
                <w:i w:val="false"/>
                <w:iCs w:val="false"/>
                <w:caps w:val="false"/>
                <w:smallCaps w:val="false"/>
                <w:color w:val="000000"/>
                <w:spacing w:val="0"/>
                <w:sz w:val="24"/>
                <w:szCs w:val="24"/>
                <w:shd w:fill="FFFFFF" w:val="clear"/>
                <w:lang w:val="uk-UA"/>
              </w:rPr>
              <w:t>нутрішньо переміщені особи, які не мають іншого житла для проживання на підконтрольній українській владі території або житло яких зруйновано (знищене), або пошкоджене до стану, непридатного для проживання</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Вичерпний перелік документів, необхідний для отримання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аява на ім’я міського голови;</w:t>
            </w:r>
          </w:p>
          <w:p>
            <w:pPr>
              <w:pStyle w:val="Normal"/>
              <w:widowControl w:val="false"/>
              <w:spacing w:lineRule="auto" w:line="240" w:before="0" w:after="0"/>
              <w:jc w:val="left"/>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w:t>
            </w:r>
            <w:r>
              <w:rPr>
                <w:rFonts w:eastAsia="Calibri" w:cs="Times New Roman" w:eastAsiaTheme="minorHAnsi"/>
                <w:i w:val="false"/>
                <w:iCs w:val="false"/>
                <w:color w:val="000000"/>
                <w:kern w:val="0"/>
                <w:sz w:val="24"/>
                <w:szCs w:val="24"/>
                <w:lang w:val="uk-UA" w:eastAsia="en-US" w:bidi="ar-SA"/>
              </w:rPr>
              <w:t>ї</w:t>
            </w:r>
            <w:r>
              <w:rPr>
                <w:rFonts w:eastAsia="Calibri" w:cs="Times New Roman"/>
                <w:i w:val="false"/>
                <w:iCs w:val="false"/>
                <w:color w:val="000000"/>
                <w:sz w:val="24"/>
                <w:szCs w:val="24"/>
                <w:lang w:val="uk-UA"/>
              </w:rPr>
              <w:t xml:space="preserve"> </w:t>
            </w:r>
            <w:r>
              <w:rPr>
                <w:rFonts w:eastAsia="Calibri" w:cs="Times New Roman" w:eastAsiaTheme="minorHAnsi"/>
                <w:i w:val="false"/>
                <w:iCs w:val="false"/>
                <w:color w:val="000000"/>
                <w:kern w:val="0"/>
                <w:sz w:val="24"/>
                <w:szCs w:val="24"/>
                <w:lang w:val="uk-UA" w:eastAsia="en-US" w:bidi="ar-SA"/>
              </w:rPr>
              <w:t>документів, що посвідчують особу та підтверджують громадянство України</w:t>
            </w:r>
            <w:r>
              <w:rPr>
                <w:rFonts w:eastAsia="Calibri" w:cs="Times New Roman"/>
                <w:i w:val="false"/>
                <w:iCs w:val="false"/>
                <w:color w:val="000000"/>
                <w:sz w:val="24"/>
                <w:szCs w:val="24"/>
                <w:lang w:val="uk-UA"/>
              </w:rPr>
              <w:t>;</w:t>
            </w:r>
          </w:p>
          <w:p>
            <w:pPr>
              <w:pStyle w:val="Normal"/>
              <w:widowControl w:val="false"/>
              <w:spacing w:lineRule="auto" w:line="240" w:before="0" w:after="0"/>
              <w:jc w:val="left"/>
              <w:rPr>
                <w:i w:val="false"/>
                <w:i w:val="false"/>
                <w:iCs w:val="false"/>
                <w:color w:val="000000"/>
              </w:rPr>
            </w:pPr>
            <w:r>
              <w:rPr>
                <w:rFonts w:eastAsia="Calibri" w:cs="Times New Roman"/>
                <w:b w:val="false"/>
                <w:i w:val="false"/>
                <w:iCs w:val="false"/>
                <w:caps w:val="false"/>
                <w:smallCaps w:val="false"/>
                <w:color w:val="000000"/>
                <w:spacing w:val="0"/>
                <w:sz w:val="24"/>
                <w:szCs w:val="24"/>
                <w:lang w:val="uk-UA"/>
              </w:rPr>
              <w:t>- 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витяг з Державного реєстру актів цивільного стану громадян);</w:t>
            </w:r>
          </w:p>
          <w:p>
            <w:pPr>
              <w:pStyle w:val="Normal"/>
              <w:widowControl w:val="false"/>
              <w:tabs>
                <w:tab w:val="clear" w:pos="709"/>
                <w:tab w:val="left" w:pos="399" w:leader="none"/>
              </w:tabs>
              <w:spacing w:lineRule="auto" w:line="240" w:before="0" w:after="0"/>
              <w:jc w:val="left"/>
              <w:rPr>
                <w:i w:val="false"/>
                <w:i w:val="false"/>
                <w:iCs w:val="false"/>
                <w:color w:val="000000"/>
              </w:rPr>
            </w:pPr>
            <w:r>
              <w:rPr>
                <w:rFonts w:eastAsia="Calibri" w:cs="Times New Roman"/>
                <w:i w:val="false"/>
                <w:iCs w:val="false"/>
                <w:color w:val="000000"/>
                <w:kern w:val="0"/>
                <w:sz w:val="24"/>
                <w:szCs w:val="24"/>
                <w:lang w:val="uk-UA" w:eastAsia="ru-RU" w:bidi="ar-SA"/>
              </w:rPr>
              <w:t xml:space="preserve">- копії РНОКПП </w:t>
            </w:r>
            <w:r>
              <w:rPr>
                <w:rFonts w:eastAsia="Calibri" w:cs="Times New Roman"/>
                <w:i w:val="false"/>
                <w:iCs w:val="false"/>
                <w:color w:val="000000"/>
                <w:kern w:val="0"/>
                <w:sz w:val="24"/>
                <w:szCs w:val="24"/>
                <w:lang w:val="en-US" w:eastAsia="ru-RU" w:bidi="ar-SA"/>
              </w:rPr>
              <w:t>(</w:t>
            </w:r>
            <w:r>
              <w:rPr>
                <w:rFonts w:eastAsia="Calibri" w:cs="Times New Roman"/>
                <w:i w:val="false"/>
                <w:iCs w:val="false"/>
                <w:color w:val="000000"/>
                <w:kern w:val="0"/>
                <w:sz w:val="24"/>
                <w:szCs w:val="24"/>
                <w:lang w:val="uk-UA" w:eastAsia="ru-RU" w:bidi="ar-SA"/>
              </w:rPr>
              <w:t>ідентифікаційних номерів);</w:t>
            </w:r>
          </w:p>
          <w:p>
            <w:pPr>
              <w:pStyle w:val="Normal"/>
              <w:widowControl w:val="false"/>
              <w:tabs>
                <w:tab w:val="clear" w:pos="709"/>
                <w:tab w:val="left" w:pos="399" w:leader="none"/>
              </w:tabs>
              <w:suppressAutoHyphens w:val="true"/>
              <w:spacing w:lineRule="auto" w:line="240" w:before="0" w:after="0"/>
              <w:jc w:val="left"/>
              <w:rPr>
                <w:i w:val="false"/>
                <w:i w:val="false"/>
                <w:iCs w:val="false"/>
                <w:color w:val="000000"/>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итяги з реєстру територіальної громади (копія довідки про взяття на облік внутрішньо переміщеної особи);</w:t>
            </w:r>
          </w:p>
          <w:p>
            <w:pPr>
              <w:pStyle w:val="Normal"/>
              <w:widowControl w:val="false"/>
              <w:suppressAutoHyphens w:val="tru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документів, що підтверджують право громадянина та членів його сім’ї на надання пільг під час зарахування на квартирний облік;</w:t>
            </w:r>
          </w:p>
          <w:p>
            <w:pPr>
              <w:pStyle w:val="Normal"/>
              <w:widowControl w:val="false"/>
              <w:suppressAutoHyphens w:val="tru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 xml:space="preserve">овідка про доходи всіх членів родини </w:t>
            </w:r>
            <w:r>
              <w:rPr>
                <w:rFonts w:eastAsia="Calibri" w:cs="Times New Roman"/>
                <w:i w:val="false"/>
                <w:iCs w:val="false"/>
                <w:color w:val="000000"/>
                <w:sz w:val="16"/>
                <w:szCs w:val="16"/>
                <w:lang w:val="uk-UA"/>
              </w:rPr>
              <w:t>(</w:t>
            </w:r>
            <w:r>
              <w:rPr>
                <w:rFonts w:eastAsia="Calibri" w:cs="Times New Roman"/>
                <w:i w:val="false"/>
                <w:iCs w:val="false"/>
                <w:color w:val="000000"/>
                <w:sz w:val="18"/>
                <w:szCs w:val="18"/>
                <w:lang w:val="uk-UA"/>
              </w:rPr>
              <w:t>з</w:t>
            </w:r>
            <w:r>
              <w:rPr>
                <w:rFonts w:eastAsia="Calibri" w:cs="Times New Roman" w:eastAsiaTheme="minorHAnsi"/>
                <w:i w:val="false"/>
                <w:iCs w:val="false"/>
                <w:color w:val="000000"/>
                <w:kern w:val="0"/>
                <w:sz w:val="18"/>
                <w:szCs w:val="18"/>
                <w:lang w:val="uk-UA" w:eastAsia="en-US" w:bidi="ar-SA"/>
              </w:rPr>
              <w:t>арплата, пенсія, соціальні виплати, аліменти тощо)</w:t>
            </w:r>
            <w:r>
              <w:rPr>
                <w:rFonts w:eastAsia="Calibri" w:cs="Times New Roman" w:eastAsiaTheme="minorHAnsi"/>
                <w:i w:val="false"/>
                <w:iCs w:val="false"/>
                <w:color w:val="000000"/>
                <w:kern w:val="0"/>
                <w:sz w:val="24"/>
                <w:szCs w:val="24"/>
                <w:lang w:val="uk-UA" w:eastAsia="en-US" w:bidi="ar-SA"/>
              </w:rPr>
              <w:t>;</w:t>
            </w:r>
          </w:p>
          <w:p>
            <w:pPr>
              <w:pStyle w:val="Normal"/>
              <w:widowControl w:val="false"/>
              <w:suppressAutoHyphens w:val="tru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овідка про доходи з податкової інспекції</w:t>
            </w:r>
          </w:p>
          <w:p>
            <w:pPr>
              <w:pStyle w:val="Normal"/>
              <w:widowControl w:val="false"/>
              <w:suppressAutoHyphens w:val="tru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w:t>
            </w:r>
            <w:r>
              <w:rPr>
                <w:rFonts w:eastAsia="Calibri" w:cs="Times New Roman"/>
                <w:i w:val="false"/>
                <w:iCs w:val="false"/>
                <w:color w:val="000000"/>
                <w:sz w:val="18"/>
                <w:szCs w:val="18"/>
                <w:lang w:val="uk-UA"/>
              </w:rPr>
              <w:t xml:space="preserve">вул. </w:t>
            </w:r>
            <w:r>
              <w:rPr>
                <w:rFonts w:eastAsia="Calibri" w:cs="Times New Roman"/>
                <w:i w:val="false"/>
                <w:iCs w:val="false"/>
                <w:color w:val="000000"/>
                <w:kern w:val="0"/>
                <w:sz w:val="18"/>
                <w:szCs w:val="18"/>
                <w:lang w:val="uk-UA" w:eastAsia="ru-RU" w:bidi="ar-SA"/>
              </w:rPr>
              <w:t>Залужного</w:t>
            </w:r>
            <w:r>
              <w:rPr>
                <w:rFonts w:eastAsia="Calibri" w:cs="Times New Roman"/>
                <w:i w:val="false"/>
                <w:iCs w:val="false"/>
                <w:color w:val="000000"/>
                <w:sz w:val="18"/>
                <w:szCs w:val="18"/>
                <w:lang w:val="uk-UA"/>
              </w:rPr>
              <w:t>,7)</w:t>
            </w:r>
            <w:r>
              <w:rPr>
                <w:rFonts w:eastAsia="Calibri" w:cs="Times New Roman"/>
                <w:i w:val="false"/>
                <w:iCs w:val="false"/>
                <w:color w:val="000000"/>
                <w:sz w:val="24"/>
                <w:szCs w:val="24"/>
                <w:lang w:val="uk-UA"/>
              </w:rPr>
              <w:t>;</w:t>
            </w:r>
          </w:p>
          <w:p>
            <w:pPr>
              <w:pStyle w:val="Normal"/>
              <w:widowControl w:val="false"/>
              <w:suppressAutoHyphens w:val="tru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овідка БТІ про наявність або відсутність нерухомого майна  (</w:t>
            </w:r>
            <w:r>
              <w:rPr>
                <w:rFonts w:eastAsia="Calibri" w:cs="Times New Roman"/>
                <w:i w:val="false"/>
                <w:iCs w:val="false"/>
                <w:color w:val="000000"/>
                <w:sz w:val="18"/>
                <w:szCs w:val="18"/>
                <w:lang w:val="uk-UA"/>
              </w:rPr>
              <w:t xml:space="preserve">у разі наявності такого майна </w:t>
            </w:r>
            <w:r>
              <w:rPr>
                <w:rFonts w:eastAsia="Calibri" w:cs="Times New Roman"/>
                <w:i w:val="false"/>
                <w:iCs w:val="false"/>
                <w:color w:val="000000"/>
                <w:sz w:val="24"/>
                <w:szCs w:val="24"/>
                <w:lang w:val="uk-UA"/>
              </w:rPr>
              <w:t xml:space="preserve"> </w:t>
            </w:r>
            <w:r>
              <w:rPr>
                <w:rFonts w:eastAsia="Calibri" w:cs="Times New Roman"/>
                <w:i w:val="false"/>
                <w:iCs w:val="false"/>
                <w:color w:val="000000"/>
                <w:sz w:val="18"/>
                <w:szCs w:val="18"/>
                <w:lang w:val="uk-UA"/>
              </w:rPr>
              <w:t>надати копію св-ва та</w:t>
            </w:r>
            <w:r>
              <w:rPr>
                <w:rFonts w:eastAsia="Calibri" w:cs="Times New Roman"/>
                <w:i w:val="false"/>
                <w:iCs w:val="false"/>
                <w:color w:val="000000"/>
                <w:sz w:val="24"/>
                <w:szCs w:val="24"/>
                <w:lang w:val="uk-UA"/>
              </w:rPr>
              <w:t xml:space="preserve"> </w:t>
            </w:r>
            <w:r>
              <w:rPr>
                <w:rFonts w:eastAsia="Calibri" w:cs="Times New Roman"/>
                <w:i w:val="false"/>
                <w:iCs w:val="false"/>
                <w:color w:val="000000"/>
                <w:sz w:val="18"/>
                <w:szCs w:val="18"/>
                <w:lang w:val="uk-UA"/>
              </w:rPr>
              <w:t>витяг з державного  реєстру прав на нерухоме майно (вул. Центральна,9)</w:t>
            </w:r>
            <w:r>
              <w:rPr>
                <w:rFonts w:eastAsia="Calibri" w:cs="Times New Roman"/>
                <w:i w:val="false"/>
                <w:iCs w:val="false"/>
                <w:color w:val="000000"/>
                <w:sz w:val="24"/>
                <w:szCs w:val="24"/>
                <w:lang w:val="uk-UA"/>
              </w:rPr>
              <w:t>;</w:t>
            </w:r>
          </w:p>
          <w:p>
            <w:pPr>
              <w:pStyle w:val="Normal"/>
              <w:widowControl w:val="false"/>
              <w:suppressAutoHyphens w:val="tru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 xml:space="preserve">ідомість про вартість майна, що перебуває у власності громадянина та членів його сім’ї на момент взяття на </w:t>
            </w:r>
            <w:r>
              <w:rPr>
                <w:rFonts w:eastAsia="Calibri" w:cs="Times New Roman" w:eastAsiaTheme="minorHAnsi"/>
                <w:i w:val="false"/>
                <w:iCs w:val="false"/>
                <w:color w:val="000000"/>
                <w:kern w:val="0"/>
                <w:sz w:val="24"/>
                <w:szCs w:val="24"/>
                <w:lang w:val="uk-UA" w:eastAsia="en-US" w:bidi="ar-SA"/>
              </w:rPr>
              <w:t>облік (крім вартості майнових прав чи прав власності на нерухоме майно, розміщене на тимчасово окупованих територіях);</w:t>
            </w:r>
          </w:p>
          <w:p>
            <w:pPr>
              <w:pStyle w:val="Normal"/>
              <w:widowControl w:val="false"/>
              <w:suppressAutoHyphens w:val="true"/>
              <w:spacing w:lineRule="auto" w:line="240" w:before="0" w:after="0"/>
              <w:jc w:val="left"/>
              <w:rPr>
                <w:i w:val="false"/>
                <w:i w:val="false"/>
                <w:iCs w:val="false"/>
                <w:color w:val="000000"/>
                <w:sz w:val="24"/>
                <w:szCs w:val="24"/>
              </w:rPr>
            </w:pPr>
            <w:r>
              <w:rPr>
                <w:rFonts w:eastAsia="Calibri" w:cs="Times New Roman" w:eastAsiaTheme="minorHAnsi"/>
                <w:i w:val="false"/>
                <w:iCs w:val="false"/>
                <w:color w:val="000000"/>
                <w:kern w:val="0"/>
                <w:sz w:val="24"/>
                <w:szCs w:val="24"/>
                <w:lang w:val="uk-UA" w:eastAsia="en-US" w:bidi="ar-SA"/>
              </w:rPr>
              <w:t xml:space="preserve">- </w:t>
            </w:r>
            <w:r>
              <w:rPr>
                <w:rFonts w:eastAsia="Calibri" w:cs="Times New Roman"/>
                <w:i w:val="false"/>
                <w:iCs w:val="false"/>
                <w:color w:val="000000"/>
                <w:kern w:val="0"/>
                <w:sz w:val="24"/>
                <w:szCs w:val="24"/>
                <w:lang w:val="uk-UA" w:eastAsia="en-US" w:bidi="ar-SA"/>
              </w:rPr>
              <w:t>у разі наявності житлового приміщення, яке зруйноване або стало непридатним для проживання внаслідок збройної агресії Російської Федерації, розташован</w:t>
            </w:r>
            <w:r>
              <w:rPr>
                <w:rFonts w:eastAsia="Calibri" w:cs="Times New Roman"/>
                <w:i w:val="false"/>
                <w:iCs w:val="false"/>
                <w:color w:val="000000"/>
                <w:kern w:val="0"/>
                <w:sz w:val="24"/>
                <w:szCs w:val="24"/>
                <w:lang w:val="uk-UA" w:eastAsia="ru-RU" w:bidi="ar-SA"/>
              </w:rPr>
              <w:t>ого</w:t>
            </w:r>
            <w:r>
              <w:rPr>
                <w:rFonts w:eastAsia="Calibri" w:cs="Times New Roman"/>
                <w:i w:val="false"/>
                <w:iCs w:val="false"/>
                <w:color w:val="000000"/>
                <w:kern w:val="0"/>
                <w:sz w:val="24"/>
                <w:szCs w:val="24"/>
                <w:lang w:val="uk-UA" w:eastAsia="en-US" w:bidi="ar-SA"/>
              </w:rPr>
              <w:t xml:space="preserve"> в інших регіонах, ніж тимчасово окуповані території у Донецькій та Луганській областях, Автономній Республіці Крим і  м. Севастополі, на території, де проводяться бойові дії, додається копія акта обстеження технічного стану житлового приміщення (будинку, квартири), складеного комісією, утвореною місцевим виконавчим органом за місцем розташування житла;</w:t>
            </w:r>
          </w:p>
          <w:p>
            <w:pPr>
              <w:pStyle w:val="Normal"/>
              <w:widowControl w:val="false"/>
              <w:suppressAutoHyphens w:val="true"/>
              <w:spacing w:lineRule="auto" w:line="240" w:before="0" w:after="0"/>
              <w:jc w:val="left"/>
              <w:rPr>
                <w:i w:val="false"/>
                <w:i w:val="false"/>
                <w:iCs w:val="false"/>
                <w:color w:val="000000"/>
                <w:sz w:val="24"/>
                <w:szCs w:val="24"/>
              </w:rPr>
            </w:pPr>
            <w:r>
              <w:rPr>
                <w:rFonts w:eastAsia="Times New Roman" w:cs="Times New Roman"/>
                <w:i w:val="false"/>
                <w:iCs w:val="false"/>
                <w:color w:val="000000"/>
                <w:kern w:val="0"/>
                <w:sz w:val="24"/>
                <w:szCs w:val="24"/>
                <w:lang w:val="uk-UA" w:eastAsia="ar-SA" w:bidi="ar-SA"/>
              </w:rPr>
              <w:t>- к</w:t>
            </w:r>
            <w:r>
              <w:rPr>
                <w:rFonts w:eastAsia="Times New Roman"/>
                <w:i w:val="false"/>
                <w:iCs w:val="false"/>
                <w:color w:val="000000"/>
                <w:sz w:val="24"/>
                <w:szCs w:val="24"/>
                <w:lang w:val="uk-UA"/>
              </w:rPr>
              <w:t>опія довіреності (у разі подання заяви</w:t>
            </w:r>
          </w:p>
          <w:p>
            <w:pPr>
              <w:pStyle w:val="Normal"/>
              <w:widowControl w:val="false"/>
              <w:suppressAutoHyphens w:val="true"/>
              <w:spacing w:lineRule="auto" w:line="240" w:before="0" w:after="0"/>
              <w:jc w:val="left"/>
              <w:rPr>
                <w:i w:val="false"/>
                <w:i w:val="false"/>
                <w:iCs w:val="false"/>
                <w:color w:val="000000"/>
                <w:sz w:val="24"/>
                <w:szCs w:val="24"/>
              </w:rPr>
            </w:pPr>
            <w:r>
              <w:rPr>
                <w:rFonts w:eastAsia="Times New Roman"/>
                <w:i w:val="false"/>
                <w:iCs w:val="false"/>
                <w:color w:val="000000"/>
                <w:sz w:val="24"/>
                <w:szCs w:val="24"/>
                <w:lang w:val="uk-UA"/>
              </w:rPr>
              <w:t>уповноваженою особою), копії документів, що посвідчують уповноважену особу</w:t>
            </w:r>
            <w:r>
              <w:rPr>
                <w:rFonts w:eastAsia="Calibri" w:cs="Times New Roman"/>
                <w:i w:val="false"/>
                <w:iCs w:val="false"/>
                <w:color w:val="000000"/>
                <w:kern w:val="0"/>
                <w:sz w:val="24"/>
                <w:szCs w:val="24"/>
                <w:lang w:val="uk-UA" w:eastAsia="en-US" w:bidi="ar-SA"/>
              </w:rPr>
              <w:t>.</w:t>
            </w:r>
          </w:p>
          <w:p>
            <w:pPr>
              <w:pStyle w:val="Normal"/>
              <w:widowControl w:val="false"/>
              <w:suppressAutoHyphens w:val="true"/>
              <w:spacing w:lineRule="auto" w:line="240" w:before="0" w:after="0"/>
              <w:ind w:left="0" w:right="0" w:firstLine="340"/>
              <w:jc w:val="left"/>
              <w:rPr>
                <w:color w:val="000000"/>
                <w:sz w:val="24"/>
                <w:szCs w:val="24"/>
              </w:rPr>
            </w:pPr>
            <w:r>
              <w:rPr>
                <w:color w:val="000000"/>
                <w:sz w:val="24"/>
                <w:szCs w:val="24"/>
              </w:rPr>
              <w:t>При подачі документів обов’язкове пред’явлення їх оригіналів для звірки</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9</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sz w:val="24"/>
                <w:szCs w:val="24"/>
                <w:lang w:val="uk-UA"/>
              </w:rPr>
            </w:pPr>
            <w:bookmarkStart w:id="0" w:name="n319"/>
            <w:bookmarkEnd w:id="0"/>
            <w:r>
              <w:rPr>
                <w:i/>
                <w:iCs/>
                <w:sz w:val="24"/>
                <w:szCs w:val="24"/>
                <w:lang w:val="uk-UA"/>
              </w:rPr>
              <w:t>Необґрунтоване залишення заяви без руху не допускається.</w:t>
            </w:r>
          </w:p>
          <w:p>
            <w:pPr>
              <w:pStyle w:val="Normal"/>
              <w:widowControl w:val="false"/>
              <w:ind w:firstLine="284"/>
              <w:jc w:val="both"/>
              <w:rPr>
                <w:i/>
                <w:i/>
                <w:iCs/>
                <w:sz w:val="24"/>
                <w:szCs w:val="24"/>
                <w:lang w:val="uk-UA"/>
              </w:rPr>
            </w:pPr>
            <w:bookmarkStart w:id="1" w:name="n320"/>
            <w:bookmarkEnd w:id="1"/>
            <w:r>
              <w:rPr>
                <w:i/>
                <w:iCs/>
                <w:sz w:val="24"/>
                <w:szCs w:val="24"/>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2" w:name="n321"/>
            <w:bookmarkEnd w:id="2"/>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10</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ind w:left="0" w:right="0" w:firstLine="34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Адміністративнав послуга надається </w:t>
            </w: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езоплатно</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11</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Строк надання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Протягом 30 робочих днів після подання заяви та документів, необхідних для надання адміністративної послуги.</w:t>
            </w:r>
          </w:p>
          <w:p>
            <w:pPr>
              <w:pStyle w:val="Normal"/>
              <w:widowControl w:val="false"/>
              <w:suppressAutoHyphens w:val="tru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У разі залишення заяви без руху, строк розгляду продовжується на строк залишення заяви без руху</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2</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Перелік підстав для відмови у наданні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 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suppressAutoHyphens w:val="true"/>
              <w:spacing w:lineRule="auto" w:line="240" w:before="0" w:after="0"/>
              <w:ind w:left="0" w:right="0" w:firstLine="340"/>
              <w:jc w:val="left"/>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2. Подання документів, що містять недостовірні відомості</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Результат надання адміністративної послуги</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1. У разі позитивного розгляду звернення надається копія р</w:t>
            </w:r>
            <w:r>
              <w:rPr>
                <w:rFonts w:eastAsia="Calibri" w:cs="Times New Roman"/>
                <w:i w:val="false"/>
                <w:iCs w:val="false"/>
                <w:color w:val="000000"/>
                <w:sz w:val="24"/>
                <w:szCs w:val="24"/>
                <w:lang w:val="uk-UA"/>
              </w:rPr>
              <w:t>ішення виконавчого комітету про взяття на облік;</w:t>
            </w:r>
          </w:p>
          <w:p>
            <w:pPr>
              <w:pStyle w:val="Normal"/>
              <w:widowControl w:val="false"/>
              <w:suppressAutoHyphens w:val="true"/>
              <w:spacing w:lineRule="auto" w:line="240" w:before="0" w:after="0"/>
              <w:ind w:left="0" w:right="0" w:firstLine="340"/>
              <w:jc w:val="both"/>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Способи отримання  відповіді (результату)</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ind w:firstLine="284"/>
              <w:jc w:val="both"/>
              <w:rPr>
                <w:lang w:val="uk-UA"/>
              </w:rPr>
            </w:pPr>
            <w:r>
              <w:rPr>
                <w:rFonts w:eastAsia="Calibri" w:cs="Times New Roman"/>
                <w:i w:val="false"/>
                <w:iCs w:val="false"/>
                <w:color w:val="000000"/>
                <w:sz w:val="24"/>
                <w:szCs w:val="24"/>
                <w:lang w:val="uk-UA"/>
              </w:rPr>
              <w:t xml:space="preserve">Результат надання адміністративної послуги </w:t>
            </w:r>
            <w:r>
              <w:rPr>
                <w:rFonts w:eastAsia="Times New Roman" w:cs="Times New Roman"/>
                <w:i w:val="false"/>
                <w:iCs w:val="false"/>
                <w:color w:val="auto"/>
                <w:kern w:val="0"/>
                <w:sz w:val="24"/>
                <w:szCs w:val="24"/>
                <w:lang w:val="uk-UA" w:eastAsia="ru-RU" w:bidi="ar-SA"/>
              </w:rPr>
              <w:t xml:space="preserve">вручається </w:t>
            </w:r>
            <w:r>
              <w:rPr>
                <w:rFonts w:eastAsia="Calibri" w:cs="Times New Roman"/>
                <w:i w:val="false"/>
                <w:iCs w:val="false"/>
                <w:color w:val="000000"/>
                <w:sz w:val="24"/>
                <w:szCs w:val="24"/>
                <w:lang w:val="uk-UA"/>
              </w:rPr>
              <w:t>особисто заявник</w:t>
            </w:r>
            <w:r>
              <w:rPr>
                <w:rFonts w:eastAsia="Times New Roman" w:cs="Times New Roman"/>
                <w:i w:val="false"/>
                <w:iCs w:val="false"/>
                <w:color w:val="auto"/>
                <w:kern w:val="0"/>
                <w:sz w:val="24"/>
                <w:szCs w:val="24"/>
                <w:lang w:val="uk-UA" w:eastAsia="ru-RU" w:bidi="ar-SA"/>
              </w:rPr>
              <w:t>у (</w:t>
            </w:r>
            <w:r>
              <w:rPr>
                <w:rFonts w:eastAsia="Calibri" w:cs="Times New Roman"/>
                <w:i w:val="false"/>
                <w:iCs w:val="false"/>
                <w:color w:val="000000"/>
                <w:sz w:val="24"/>
                <w:szCs w:val="24"/>
                <w:lang w:val="uk-UA"/>
              </w:rPr>
              <w:t>його довіреній особі</w:t>
            </w:r>
            <w:r>
              <w:rPr>
                <w:rFonts w:eastAsia="Times New Roman" w:cs="Times New Roman"/>
                <w:i w:val="false"/>
                <w:iCs w:val="false"/>
                <w:color w:val="auto"/>
                <w:kern w:val="0"/>
                <w:sz w:val="24"/>
                <w:szCs w:val="24"/>
                <w:lang w:val="uk-UA" w:eastAsia="ru-RU" w:bidi="ar-SA"/>
              </w:rPr>
              <w:t>)</w:t>
            </w:r>
            <w:r>
              <w:rPr>
                <w:rFonts w:eastAsia="Calibri" w:cs="Times New Roman"/>
                <w:i w:val="false"/>
                <w:iCs w:val="false"/>
                <w:color w:val="000000"/>
                <w:sz w:val="24"/>
                <w:szCs w:val="24"/>
                <w:lang w:val="uk-UA"/>
              </w:rPr>
              <w:t xml:space="preserve"> або надсилається поштою, або у інший спосіб, зазначений заявником в заяві</w:t>
            </w:r>
          </w:p>
        </w:tc>
      </w:tr>
      <w:tr>
        <w:trPr/>
        <w:tc>
          <w:tcPr>
            <w:tcW w:w="661"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center"/>
              <w:rPr>
                <w:lang w:val="uk-UA"/>
              </w:rPr>
            </w:pPr>
            <w:r>
              <w:rPr>
                <w:sz w:val="20"/>
                <w:lang w:val="uk-UA"/>
              </w:rPr>
              <w:t>15.</w:t>
            </w:r>
          </w:p>
        </w:tc>
        <w:tc>
          <w:tcPr>
            <w:tcW w:w="2956" w:type="dxa"/>
            <w:tcBorders>
              <w:left w:val="single" w:sz="4" w:space="0" w:color="000000"/>
              <w:bottom w:val="single" w:sz="4" w:space="0" w:color="000000"/>
            </w:tcBorders>
            <w:shd w:fill="auto" w:val="clear"/>
          </w:tcPr>
          <w:p>
            <w:pPr>
              <w:pStyle w:val="Normal"/>
              <w:widowControl w:val="false"/>
              <w:suppressAutoHyphens w:val="true"/>
              <w:spacing w:lineRule="auto" w:line="240" w:before="0" w:after="0"/>
              <w:jc w:val="left"/>
              <w:rPr>
                <w:rFonts w:eastAsia="Calibri" w:cs="Times New Roman"/>
                <w:i w:val="false"/>
                <w:i w:val="false"/>
                <w:iCs w:val="false"/>
                <w:color w:val="000000"/>
                <w:sz w:val="24"/>
                <w:szCs w:val="24"/>
              </w:rPr>
            </w:pPr>
            <w:r>
              <w:rPr>
                <w:rFonts w:eastAsia="Calibri" w:cs="Times New Roman"/>
                <w:i w:val="false"/>
                <w:iCs w:val="false"/>
                <w:color w:val="000000"/>
                <w:sz w:val="24"/>
                <w:szCs w:val="24"/>
              </w:rPr>
              <w:t>Спосіб та строки оскарження</w:t>
            </w:r>
          </w:p>
        </w:tc>
        <w:tc>
          <w:tcPr>
            <w:tcW w:w="5969" w:type="dxa"/>
            <w:gridSpan w:val="3"/>
            <w:tcBorders>
              <w:left w:val="single" w:sz="4" w:space="0" w:color="000000"/>
              <w:bottom w:val="single" w:sz="4" w:space="0" w:color="000000"/>
              <w:right w:val="single" w:sz="4" w:space="0" w:color="000000"/>
            </w:tcBorders>
            <w:shd w:fill="auto" w:val="clear"/>
          </w:tcPr>
          <w:p>
            <w:pPr>
              <w:pStyle w:val="Normal"/>
              <w:widowControl w:val="false"/>
              <w:suppressAutoHyphens w:val="true"/>
              <w:spacing w:lineRule="auto" w:line="240" w:before="0" w:after="0"/>
              <w:ind w:firstLine="284"/>
              <w:jc w:val="both"/>
              <w:rPr>
                <w:color w:val="000000"/>
                <w:sz w:val="24"/>
                <w:szCs w:val="24"/>
                <w:lang w:val="uk-UA"/>
              </w:rPr>
            </w:pPr>
            <w:r>
              <w:rPr>
                <w:rFonts w:eastAsia="Calibri" w:cs="Times New Roman"/>
                <w:i w:val="false"/>
                <w:iCs w:val="false"/>
                <w:color w:val="000000"/>
                <w:sz w:val="24"/>
                <w:szCs w:val="24"/>
                <w:shd w:fill="FFFFFF" w:val="clear"/>
                <w:lang w:val="uk-UA"/>
              </w:rPr>
              <w:t>Розгляд скарг здійснюється у судовому порядку</w:t>
            </w:r>
          </w:p>
        </w:tc>
      </w:tr>
    </w:tbl>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spacing w:lineRule="auto" w:line="240" w:before="0" w:after="0"/>
        <w:ind w:left="-357" w:hanging="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rPr>
        <w:t>Начальник відділу</w:t>
      </w:r>
    </w:p>
    <w:p>
      <w:pPr>
        <w:pStyle w:val="Normal"/>
        <w:spacing w:lineRule="auto" w:line="240" w:before="0" w:after="0"/>
        <w:ind w:left="-357" w:hanging="0"/>
        <w:rPr>
          <w:i w:val="false"/>
          <w:i w:val="false"/>
          <w:iCs w:val="false"/>
          <w:color w:val="000000"/>
        </w:rPr>
      </w:pPr>
      <w:r>
        <w:rPr>
          <w:rFonts w:eastAsia="Calibri" w:cs="Times New Roman"/>
          <w:i w:val="false"/>
          <w:iCs w:val="false"/>
          <w:color w:val="000000"/>
          <w:sz w:val="24"/>
          <w:szCs w:val="24"/>
        </w:rPr>
        <w:t xml:space="preserve">       </w:t>
      </w:r>
      <w:r>
        <w:rPr>
          <w:rFonts w:eastAsia="Calibri" w:cs="Times New Roman"/>
          <w:i w:val="false"/>
          <w:iCs w:val="false"/>
          <w:color w:val="000000"/>
          <w:sz w:val="24"/>
          <w:szCs w:val="24"/>
        </w:rPr>
        <w:t>обліку</w:t>
      </w:r>
      <w:r>
        <w:rPr>
          <w:rFonts w:eastAsia="Calibri" w:cs="Times New Roman"/>
          <w:i w:val="false"/>
          <w:iCs w:val="false"/>
          <w:color w:val="000000"/>
          <w:sz w:val="24"/>
          <w:szCs w:val="24"/>
          <w:lang w:val="uk-UA"/>
        </w:rPr>
        <w:t xml:space="preserve"> та розподілу житла                                                                                   </w:t>
      </w:r>
      <w:r>
        <w:rPr>
          <w:rFonts w:eastAsia="Calibri" w:cs="Times New Roman"/>
          <w:i w:val="false"/>
          <w:iCs w:val="false"/>
          <w:color w:val="000000"/>
          <w:kern w:val="0"/>
          <w:sz w:val="24"/>
          <w:szCs w:val="24"/>
          <w:lang w:val="uk-UA" w:eastAsia="ru-RU" w:bidi="ar-SA"/>
        </w:rPr>
        <w:t>Галина КРУТІНЬ</w:t>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ind w:left="-426" w:hanging="0"/>
        <w:rPr>
          <w:rFonts w:ascii="Times New Roman" w:hAnsi="Times New Roman" w:eastAsia="Calibri" w:cs="Times New Roman"/>
          <w:i w:val="false"/>
          <w:i w:val="false"/>
          <w:iCs w:val="false"/>
          <w:color w:val="000000"/>
          <w:sz w:val="24"/>
          <w:szCs w:val="24"/>
          <w:lang w:val="uk-UA"/>
        </w:rPr>
      </w:pPr>
      <w:r>
        <w:rPr/>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4318</TotalTime>
  <Application>LibreOffice/7.0.3.1$Windows_X86_64 LibreOffice_project/d7547858d014d4cf69878db179d326fc3483e082</Application>
  <Pages>4</Pages>
  <Words>1053</Words>
  <Characters>7020</Characters>
  <CharactersWithSpaces>8417</CharactersWithSpaces>
  <Paragraphs>120</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dcterms:modified xsi:type="dcterms:W3CDTF">2024-04-29T14:41:54Z</dcterms:modified>
  <cp:revision>498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