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284" w:right="-284" w:hanging="0"/>
        <w:jc w:val="center"/>
        <w:rPr>
          <w:i w:val="false"/>
          <w:i w:val="false"/>
          <w:iCs w:val="false"/>
          <w:color w:val="000000"/>
        </w:rPr>
      </w:pPr>
      <w:r>
        <w:rPr>
          <w:rFonts w:eastAsia="Calibri" w:cs="Times New Roman"/>
          <w:i w:val="false"/>
          <w:iCs w:val="false"/>
          <w:color w:val="000000"/>
          <w:lang w:val="uk-UA"/>
        </w:rPr>
        <w:t xml:space="preserve">                                                                                                         </w:t>
      </w:r>
      <w:r>
        <w:rPr>
          <w:rFonts w:eastAsia="Times New Roman" w:cs="Times New Roman"/>
          <w:i w:val="false"/>
          <w:iCs w:val="false"/>
          <w:color w:val="000000"/>
          <w:kern w:val="0"/>
          <w:sz w:val="24"/>
          <w:szCs w:val="24"/>
          <w:u w:val="none"/>
          <w:lang w:val="uk-UA" w:eastAsia="zh-CN" w:bidi="ar-SA"/>
        </w:rPr>
        <w:t>З</w:t>
      </w:r>
      <w:r>
        <w:rPr>
          <w:rFonts w:eastAsia="Times New Roman" w:cs="Times New Roman"/>
          <w:i w:val="false"/>
          <w:iCs w:val="false"/>
          <w:color w:val="000000"/>
          <w:lang w:val="uk-UA" w:eastAsia="zh-CN"/>
        </w:rPr>
        <w:t xml:space="preserve">АТВЕРДЖЕНО                      </w:t>
        <w:tab/>
        <w:tab/>
        <w:tab/>
        <w:tab/>
        <w:tab/>
        <w:tab/>
        <w:tab/>
        <w:t xml:space="preserve">                                    </w:t>
      </w:r>
      <w:r>
        <w:rPr>
          <w:rFonts w:eastAsia="Times New Roman" w:cs="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left="284" w:right="-284" w:hanging="0"/>
        <w:jc w:val="center"/>
        <w:rPr>
          <w:i w:val="false"/>
          <w:i w:val="false"/>
          <w:iCs w:val="false"/>
          <w:color w:val="000000"/>
        </w:rPr>
      </w:pPr>
      <w:r>
        <w:rPr>
          <w:rFonts w:eastAsia="Times New Roman" w:cs="Times New Roman"/>
          <w:i w:val="false"/>
          <w:iCs w:val="false"/>
          <w:color w:val="000000"/>
          <w:kern w:val="0"/>
          <w:sz w:val="24"/>
          <w:szCs w:val="24"/>
          <w:u w:val="none"/>
          <w:lang w:val="uk-UA" w:eastAsia="ar-SA" w:bidi="ar-SA"/>
        </w:rPr>
        <w:t xml:space="preserve">                                                                                                         </w:t>
      </w:r>
      <w:r>
        <w:rPr>
          <w:rFonts w:eastAsia="Times New Roman" w:cs="Times New Roman"/>
          <w:i w:val="false"/>
          <w:iCs w:val="false"/>
          <w:color w:val="000000"/>
          <w:kern w:val="0"/>
          <w:sz w:val="24"/>
          <w:szCs w:val="24"/>
          <w:u w:val="single"/>
          <w:lang w:val="uk-UA" w:eastAsia="ar-SA" w:bidi="ar-SA"/>
        </w:rPr>
        <w:t>24.04.2024</w:t>
      </w:r>
      <w:r>
        <w:rPr>
          <w:rFonts w:eastAsia="Times New Roman" w:cs="Times New Roman"/>
          <w:i w:val="false"/>
          <w:iCs w:val="false"/>
          <w:color w:val="000000"/>
          <w:kern w:val="0"/>
          <w:sz w:val="24"/>
          <w:szCs w:val="24"/>
          <w:u w:val="none"/>
          <w:lang w:val="uk-UA" w:eastAsia="ar-SA" w:bidi="ar-SA"/>
        </w:rPr>
        <w:t xml:space="preserve"> року № </w:t>
      </w:r>
      <w:r>
        <w:rPr>
          <w:rFonts w:eastAsia="Times New Roman" w:cs="Times New Roman"/>
          <w:i w:val="false"/>
          <w:iCs w:val="false"/>
          <w:color w:val="000000"/>
          <w:kern w:val="0"/>
          <w:sz w:val="24"/>
          <w:szCs w:val="24"/>
          <w:u w:val="single"/>
          <w:lang w:val="uk-UA" w:eastAsia="ar-SA" w:bidi="ar-SA"/>
        </w:rPr>
        <w:t>372/06-53-24</w:t>
      </w:r>
      <w:r>
        <w:rPr>
          <w:rFonts w:eastAsia="Times New Roman" w:cs="Times New Roman"/>
          <w:i w:val="false"/>
          <w:iCs w:val="false"/>
          <w:color w:val="000000"/>
          <w:sz w:val="24"/>
          <w:szCs w:val="24"/>
          <w:u w:val="none"/>
          <w:lang w:eastAsia="zh-CN"/>
        </w:rPr>
        <w:t xml:space="preserve">                                 </w:t>
      </w:r>
    </w:p>
    <w:p>
      <w:pPr>
        <w:pStyle w:val="Normal"/>
        <w:spacing w:lineRule="auto" w:line="240" w:before="0" w:after="0"/>
        <w:ind w:left="284" w:hanging="0"/>
        <w:jc w:val="center"/>
        <w:rPr>
          <w:rFonts w:ascii="Times New Roman" w:hAnsi="Times New Roman" w:eastAsia="Calibri" w:cs="Times New Roman"/>
          <w:b/>
          <w:b/>
          <w:i w:val="false"/>
          <w:i w:val="false"/>
          <w:iCs w:val="false"/>
          <w:color w:val="000000"/>
          <w:sz w:val="24"/>
          <w:szCs w:val="24"/>
        </w:rPr>
      </w:pPr>
      <w:r>
        <w:rPr>
          <w:rFonts w:eastAsia="Calibri" w:cs="Times New Roman"/>
          <w:b/>
          <w:i w:val="false"/>
          <w:iCs w:val="false"/>
          <w:color w:val="000000"/>
          <w:sz w:val="24"/>
          <w:szCs w:val="24"/>
        </w:rPr>
      </w:r>
    </w:p>
    <w:p>
      <w:pPr>
        <w:pStyle w:val="Normal"/>
        <w:spacing w:lineRule="auto" w:line="240" w:before="0" w:after="0"/>
        <w:ind w:left="284" w:hanging="0"/>
        <w:jc w:val="center"/>
        <w:rPr>
          <w:rFonts w:ascii="Times New Roman" w:hAnsi="Times New Roman" w:eastAsia="Calibri" w:cs="Times New Roman"/>
          <w:b/>
          <w:b/>
          <w:i w:val="false"/>
          <w:i w:val="false"/>
          <w:iCs w:val="false"/>
          <w:color w:val="000000"/>
          <w:sz w:val="24"/>
          <w:szCs w:val="24"/>
        </w:rPr>
      </w:pPr>
      <w:r>
        <w:rPr>
          <w:rFonts w:eastAsia="Calibri" w:cs="Times New Roman"/>
          <w:b/>
          <w:i w:val="false"/>
          <w:iCs w:val="false"/>
          <w:color w:val="000000"/>
          <w:sz w:val="24"/>
          <w:szCs w:val="24"/>
        </w:rPr>
      </w:r>
    </w:p>
    <w:p>
      <w:pPr>
        <w:pStyle w:val="Normal"/>
        <w:spacing w:lineRule="auto" w:line="240" w:before="0" w:after="0"/>
        <w:ind w:hanging="0"/>
        <w:jc w:val="center"/>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ІНФОРМАЦІЙНА КАРТКА АДМІНІСТРАТИВНОЇ ПОСЛУГИ №</w:t>
      </w:r>
      <w:r>
        <w:rPr>
          <w:rFonts w:eastAsia="Calibri" w:cs="Times New Roman"/>
          <w:i w:val="false"/>
          <w:iCs w:val="false"/>
          <w:color w:val="000000"/>
          <w:sz w:val="24"/>
          <w:szCs w:val="24"/>
        </w:rPr>
        <w:t xml:space="preserve"> 07-2.1</w:t>
      </w:r>
    </w:p>
    <w:p>
      <w:pPr>
        <w:pStyle w:val="Normal"/>
        <w:spacing w:lineRule="auto" w:line="240" w:before="0" w:after="0"/>
        <w:ind w:left="284" w:hanging="0"/>
        <w:jc w:val="center"/>
        <w:rPr>
          <w:color w:val="000000"/>
        </w:rPr>
      </w:pPr>
      <w:r>
        <w:rPr>
          <w:rFonts w:eastAsia="Calibri" w:cs="Times New Roman"/>
          <w:b/>
          <w:i w:val="false"/>
          <w:iCs w:val="false"/>
          <w:color w:val="000000"/>
          <w:sz w:val="24"/>
          <w:szCs w:val="24"/>
          <w:u w:val="single"/>
          <w:lang w:val="uk-UA"/>
        </w:rPr>
        <w:t xml:space="preserve">ПРИЙНЯТТЯ РІШЕННЯ ПРО ПРОДОВЖЕННЯ </w:t>
      </w:r>
      <w:r>
        <w:rPr>
          <w:rFonts w:eastAsia="Calibri" w:cs="Times New Roman"/>
          <w:b/>
          <w:i w:val="false"/>
          <w:iCs w:val="false"/>
          <w:color w:val="000000"/>
          <w:kern w:val="0"/>
          <w:sz w:val="24"/>
          <w:szCs w:val="24"/>
          <w:u w:val="single"/>
          <w:lang w:val="uk-UA" w:eastAsia="ru-RU" w:bidi="ar-SA"/>
        </w:rPr>
        <w:t xml:space="preserve">ТЕРМІНУ ДІЇ </w:t>
      </w:r>
    </w:p>
    <w:p>
      <w:pPr>
        <w:pStyle w:val="Normal"/>
        <w:spacing w:lineRule="auto" w:line="240" w:before="0" w:after="0"/>
        <w:ind w:left="284" w:hanging="0"/>
        <w:jc w:val="center"/>
        <w:rPr>
          <w:color w:val="C9211E"/>
        </w:rPr>
      </w:pPr>
      <w:r>
        <w:rPr>
          <w:rFonts w:eastAsia="Calibri" w:cs="Times New Roman"/>
          <w:b/>
          <w:i w:val="false"/>
          <w:iCs w:val="false"/>
          <w:color w:val="000000"/>
          <w:kern w:val="0"/>
          <w:sz w:val="24"/>
          <w:szCs w:val="24"/>
          <w:u w:val="single"/>
          <w:lang w:val="uk-UA" w:eastAsia="ru-RU" w:bidi="ar-SA"/>
        </w:rPr>
        <w:t>ДОГОВОРУ НАЙМУ СОЦІАЛЬНОГО ЖИТЛА</w:t>
      </w:r>
    </w:p>
    <w:p>
      <w:pPr>
        <w:pStyle w:val="Normal"/>
        <w:spacing w:lineRule="auto" w:line="240" w:before="0" w:after="0"/>
        <w:ind w:left="284" w:hanging="0"/>
        <w:jc w:val="center"/>
        <w:rPr>
          <w:rFonts w:eastAsia="Calibri" w:cs="Times New Roman"/>
          <w:b/>
          <w:b/>
          <w:i w:val="false"/>
          <w:i w:val="false"/>
          <w:iCs w:val="false"/>
          <w:kern w:val="0"/>
          <w:sz w:val="24"/>
          <w:szCs w:val="24"/>
          <w:u w:val="single"/>
          <w:lang w:val="uk-UA" w:eastAsia="ru-RU" w:bidi="ar-SA"/>
        </w:rPr>
      </w:pPr>
      <w:r>
        <w:rPr>
          <w:rFonts w:eastAsia="Calibri" w:cs="Times New Roman"/>
          <w:b/>
          <w:i w:val="false"/>
          <w:iCs w:val="false"/>
          <w:kern w:val="0"/>
          <w:sz w:val="24"/>
          <w:szCs w:val="24"/>
          <w:u w:val="single"/>
          <w:lang w:val="uk-UA" w:eastAsia="ru-RU" w:bidi="ar-SA"/>
        </w:rPr>
      </w:r>
    </w:p>
    <w:p>
      <w:pPr>
        <w:pStyle w:val="Normal"/>
        <w:spacing w:lineRule="auto" w:line="240" w:before="0" w:after="0"/>
        <w:ind w:left="284" w:hanging="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ind w:left="284" w:hanging="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bl>
      <w:tblPr>
        <w:tblW w:w="9611" w:type="dxa"/>
        <w:jc w:val="right"/>
        <w:tblInd w:w="0" w:type="dxa"/>
        <w:tblLayout w:type="fixed"/>
        <w:tblCellMar>
          <w:top w:w="0" w:type="dxa"/>
          <w:left w:w="108" w:type="dxa"/>
          <w:bottom w:w="0" w:type="dxa"/>
          <w:right w:w="108" w:type="dxa"/>
        </w:tblCellMar>
        <w:tblLook w:firstRow="1" w:noVBand="0" w:lastRow="0" w:firstColumn="1" w:lastColumn="0" w:noHBand="0" w:val="00a0"/>
      </w:tblPr>
      <w:tblGrid>
        <w:gridCol w:w="667"/>
        <w:gridCol w:w="3032"/>
        <w:gridCol w:w="2255"/>
        <w:gridCol w:w="1705"/>
        <w:gridCol w:w="1952"/>
      </w:tblGrid>
      <w:tr>
        <w:trPr/>
        <w:tc>
          <w:tcPr>
            <w:tcW w:w="961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284" w:hanging="0"/>
              <w:jc w:val="center"/>
              <w:rPr>
                <w:b/>
                <w:b/>
                <w:bCs/>
                <w:color w:val="000000"/>
                <w:sz w:val="24"/>
                <w:szCs w:val="24"/>
              </w:rPr>
            </w:pPr>
            <w:r>
              <w:rPr>
                <w:rFonts w:eastAsia="Calibri" w:cs="Times New Roman"/>
                <w:b/>
                <w:bCs/>
                <w:i w:val="false"/>
                <w:iCs w:val="false"/>
                <w:color w:val="000000"/>
                <w:sz w:val="24"/>
                <w:szCs w:val="24"/>
                <w:lang w:val="uk-UA"/>
              </w:rPr>
              <w:t>1. Інформація про суб’єкта надання адміністративної послуги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61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5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05"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95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5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05"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95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61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61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175" w:hanging="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sz w:val="24"/>
                <w:szCs w:val="24"/>
                <w:lang w:val="uk-UA"/>
              </w:rPr>
              <w:t>Закони України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Закони України  “Про адміністративну процедуру”, “Про адміністративні послуги, “Про житловий фонд соціального призначення”, “Про місцеве самоврядування в Україні”</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Кабінету Міністрів України</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Постанова Кабінету Міністрів України від 30.05.2007 № 783 “Про затвердження Типового положення про соціальний гуртожиток для осіб, які потребують соціального захисту”, </w:t>
            </w:r>
            <w:r>
              <w:rPr>
                <w:rFonts w:eastAsia="Calibri" w:cs="Times New Roman"/>
                <w:b w:val="false"/>
                <w:bCs w:val="false"/>
                <w:i w:val="false"/>
                <w:iCs w:val="false"/>
                <w:color w:val="000000"/>
                <w:sz w:val="24"/>
                <w:szCs w:val="24"/>
                <w:lang w:val="uk-UA"/>
              </w:rPr>
              <w:t>Постанова Кабінету Міністрів України від 23.07.2008 № 682  “Деякі питання реалізації Закону України “Про житловий фонд соціального призначення”</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lang w:val="uk-UA"/>
              </w:rPr>
            </w:pPr>
            <w:r>
              <w:rPr>
                <w:lang w:val="uk-UA"/>
              </w:rPr>
              <w:t>5.</w:t>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центральних органів виконавчої влади</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lang w:val="uk-UA"/>
              </w:rPr>
            </w:pPr>
            <w:r>
              <w:rPr>
                <w:lang w:val="uk-UA"/>
              </w:rPr>
              <w:t>6.</w:t>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Акти місцевих органів виконавчої влади, органів місцевого самоврядування</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w:t>
            </w:r>
          </w:p>
        </w:tc>
      </w:tr>
      <w:tr>
        <w:trPr/>
        <w:tc>
          <w:tcPr>
            <w:tcW w:w="961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175" w:hanging="0"/>
              <w:jc w:val="center"/>
              <w:rPr>
                <w:rFonts w:eastAsia="Calibri" w:cs="Times New Roman"/>
                <w:i w:val="false"/>
                <w:i w:val="false"/>
                <w:iCs w:val="false"/>
                <w:color w:val="000000"/>
                <w:sz w:val="24"/>
                <w:szCs w:val="24"/>
                <w:lang w:val="uk-UA"/>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Підстави для </w:t>
            </w:r>
            <w:r>
              <w:rPr>
                <w:rFonts w:eastAsia="Calibri" w:cs="Times New Roman"/>
                <w:i w:val="false"/>
                <w:iCs w:val="false"/>
                <w:color w:val="000000"/>
                <w:kern w:val="0"/>
                <w:sz w:val="24"/>
                <w:szCs w:val="24"/>
                <w:lang w:val="uk-UA" w:eastAsia="ru-RU" w:bidi="ar-SA"/>
              </w:rPr>
              <w:t>отримання</w:t>
            </w:r>
            <w:r>
              <w:rPr>
                <w:rFonts w:eastAsia="Calibri" w:cs="Times New Roman"/>
                <w:i w:val="false"/>
                <w:iCs w:val="false"/>
                <w:color w:val="000000"/>
                <w:sz w:val="24"/>
                <w:szCs w:val="24"/>
                <w:lang w:val="uk-UA"/>
              </w:rPr>
              <w:t xml:space="preserve">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Звернення заявника щодо отримання адміністративної послуги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Вичерпний перелік документів, необхідний для отримання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аява на ім’я міського голови;</w:t>
            </w:r>
          </w:p>
          <w:p>
            <w:pPr>
              <w:pStyle w:val="Normal"/>
              <w:widowControl w:val="false"/>
              <w:spacing w:lineRule="auto" w:line="240" w:before="0" w:after="0"/>
              <w:ind w:left="3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оговір найму соціального житла (житлового приміщення у соціальному гуртожитку);</w:t>
            </w:r>
          </w:p>
          <w:p>
            <w:pPr>
              <w:pStyle w:val="Normal"/>
              <w:widowControl w:val="false"/>
              <w:spacing w:lineRule="auto" w:line="240" w:before="0" w:after="0"/>
              <w:ind w:left="34" w:hanging="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w:t>
            </w:r>
            <w:r>
              <w:rPr>
                <w:rFonts w:eastAsia="Calibri" w:cs="Times New Roman" w:eastAsiaTheme="minorHAnsi"/>
                <w:i w:val="false"/>
                <w:iCs w:val="false"/>
                <w:color w:val="000000"/>
                <w:kern w:val="0"/>
                <w:sz w:val="24"/>
                <w:szCs w:val="24"/>
                <w:lang w:val="uk-UA" w:eastAsia="en-US" w:bidi="ar-SA"/>
              </w:rPr>
              <w:t>ї</w:t>
            </w:r>
            <w:r>
              <w:rPr>
                <w:rFonts w:eastAsia="Calibri" w:cs="Times New Roman"/>
                <w:i w:val="false"/>
                <w:iCs w:val="false"/>
                <w:color w:val="000000"/>
                <w:sz w:val="24"/>
                <w:szCs w:val="24"/>
                <w:lang w:val="uk-UA"/>
              </w:rPr>
              <w:t xml:space="preserve"> </w:t>
            </w:r>
            <w:r>
              <w:rPr>
                <w:rFonts w:eastAsia="Calibri" w:cs="Times New Roman" w:eastAsiaTheme="minorHAnsi"/>
                <w:i w:val="false"/>
                <w:iCs w:val="false"/>
                <w:color w:val="000000"/>
                <w:kern w:val="0"/>
                <w:sz w:val="24"/>
                <w:szCs w:val="24"/>
                <w:lang w:val="uk-UA" w:eastAsia="en-US" w:bidi="ar-SA"/>
              </w:rPr>
              <w:t>документів, що посвідчують особу та підтверджують громадянство України</w:t>
            </w:r>
            <w:r>
              <w:rPr>
                <w:rFonts w:eastAsia="Calibri" w:cs="Times New Roman"/>
                <w:i w:val="false"/>
                <w:iCs w:val="false"/>
                <w:color w:val="000000"/>
                <w:kern w:val="0"/>
                <w:sz w:val="24"/>
                <w:szCs w:val="24"/>
                <w:lang w:val="uk-UA" w:eastAsia="ru-RU" w:bidi="ar-SA"/>
              </w:rPr>
              <w:t>;</w:t>
            </w:r>
          </w:p>
          <w:p>
            <w:pPr>
              <w:pStyle w:val="Normal"/>
              <w:widowControl w:val="false"/>
              <w:spacing w:lineRule="auto" w:line="240" w:before="0" w:after="0"/>
              <w:ind w:left="34" w:hanging="0"/>
              <w:jc w:val="left"/>
              <w:rPr>
                <w:i w:val="false"/>
                <w:i w:val="false"/>
                <w:iCs w:val="false"/>
                <w:color w:val="000000"/>
              </w:rPr>
            </w:pPr>
            <w:r>
              <w:rPr>
                <w:rFonts w:eastAsia="Calibri" w:cs="Times New Roman"/>
                <w:i w:val="false"/>
                <w:iCs w:val="false"/>
                <w:color w:val="000000"/>
                <w:kern w:val="0"/>
                <w:sz w:val="24"/>
                <w:szCs w:val="24"/>
                <w:lang w:val="uk-UA" w:eastAsia="ru-RU" w:bidi="ar-SA"/>
              </w:rPr>
              <w:t>-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pPr>
              <w:pStyle w:val="Normal"/>
              <w:widowControl w:val="false"/>
              <w:spacing w:lineRule="auto" w:line="240" w:before="0" w:after="0"/>
              <w:ind w:left="34" w:hanging="0"/>
              <w:jc w:val="left"/>
              <w:rPr>
                <w:i w:val="false"/>
                <w:i w:val="false"/>
                <w:iCs w:val="false"/>
                <w:color w:val="000000"/>
              </w:rPr>
            </w:pPr>
            <w:r>
              <w:rPr>
                <w:rFonts w:eastAsia="Calibri" w:cs="Times New Roman"/>
                <w:i w:val="false"/>
                <w:iCs w:val="false"/>
                <w:color w:val="000000"/>
                <w:kern w:val="0"/>
                <w:sz w:val="24"/>
                <w:szCs w:val="24"/>
                <w:lang w:val="uk-UA" w:eastAsia="ru-RU" w:bidi="ar-SA"/>
              </w:rPr>
              <w:t>- копії РНОКПП (ідентифікаційних номерів)</w:t>
            </w:r>
            <w:r>
              <w:rPr>
                <w:rFonts w:eastAsia="Calibri" w:cs="Times New Roman"/>
                <w:i w:val="false"/>
                <w:iCs w:val="false"/>
                <w:color w:val="000000"/>
                <w:sz w:val="24"/>
                <w:szCs w:val="24"/>
                <w:lang w:val="uk-UA"/>
              </w:rPr>
              <w:t>;</w:t>
            </w:r>
          </w:p>
          <w:p>
            <w:pPr>
              <w:pStyle w:val="Normal"/>
              <w:widowControl w:val="false"/>
              <w:spacing w:lineRule="auto" w:line="240" w:before="0" w:after="0"/>
              <w:ind w:left="34" w:hanging="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ідомості про майно, що перебуває у власності громадянина та членів його сім’ї за минулий рік (крім вартості майнових прав чи прав власності на нерухоме майно, розміщене на тимчасово окупованих територіях);</w:t>
            </w:r>
          </w:p>
          <w:p>
            <w:pPr>
              <w:pStyle w:val="Normal"/>
              <w:widowControl w:val="false"/>
              <w:spacing w:lineRule="auto" w:line="240" w:before="0" w:after="0"/>
              <w:ind w:left="34" w:hanging="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w:t>
            </w:r>
            <w:r>
              <w:rPr>
                <w:rFonts w:eastAsia="Calibri" w:cs="Times New Roman"/>
                <w:i w:val="false"/>
                <w:iCs w:val="false"/>
                <w:color w:val="000000"/>
                <w:kern w:val="0"/>
                <w:sz w:val="24"/>
                <w:szCs w:val="24"/>
                <w:lang w:val="uk-UA" w:eastAsia="ru-RU" w:bidi="ar-SA"/>
              </w:rPr>
              <w:t>и</w:t>
            </w:r>
            <w:r>
              <w:rPr>
                <w:rFonts w:eastAsia="Calibri" w:cs="Times New Roman"/>
                <w:i w:val="false"/>
                <w:iCs w:val="false"/>
                <w:color w:val="000000"/>
                <w:sz w:val="24"/>
                <w:szCs w:val="24"/>
                <w:lang w:val="uk-UA"/>
              </w:rPr>
              <w:t xml:space="preserve"> про доходи всіх членів родини за минулий рік (</w:t>
            </w:r>
            <w:r>
              <w:rPr>
                <w:rFonts w:eastAsia="Calibri" w:cs="Times New Roman" w:eastAsiaTheme="minorHAnsi"/>
                <w:i w:val="false"/>
                <w:iCs w:val="false"/>
                <w:color w:val="000000"/>
                <w:kern w:val="0"/>
                <w:sz w:val="18"/>
                <w:szCs w:val="18"/>
                <w:lang w:val="uk-UA" w:eastAsia="en-US" w:bidi="ar-SA"/>
              </w:rPr>
              <w:t>зарплата, пенсія, соціальні виплати, аліменти тощо)</w:t>
            </w:r>
            <w:r>
              <w:rPr>
                <w:rFonts w:eastAsia="Calibri" w:cs="Times New Roman"/>
                <w:i w:val="false"/>
                <w:iCs w:val="false"/>
                <w:color w:val="000000"/>
                <w:sz w:val="18"/>
                <w:szCs w:val="18"/>
                <w:lang w:val="uk-UA"/>
              </w:rPr>
              <w:t>;</w:t>
            </w:r>
          </w:p>
          <w:p>
            <w:pPr>
              <w:pStyle w:val="Normal"/>
              <w:widowControl w:val="false"/>
              <w:spacing w:lineRule="auto" w:line="240" w:before="0" w:after="0"/>
              <w:ind w:left="34" w:hanging="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w:t>
            </w:r>
            <w:r>
              <w:rPr>
                <w:rFonts w:eastAsia="Calibri" w:cs="Times New Roman"/>
                <w:i w:val="false"/>
                <w:iCs w:val="false"/>
                <w:color w:val="000000"/>
                <w:kern w:val="0"/>
                <w:sz w:val="24"/>
                <w:szCs w:val="24"/>
                <w:lang w:val="uk-UA" w:eastAsia="ru-RU" w:bidi="ar-SA"/>
              </w:rPr>
              <w:t>и</w:t>
            </w:r>
            <w:r>
              <w:rPr>
                <w:rFonts w:eastAsia="Calibri" w:cs="Times New Roman"/>
                <w:i w:val="false"/>
                <w:iCs w:val="false"/>
                <w:color w:val="000000"/>
                <w:sz w:val="24"/>
                <w:szCs w:val="24"/>
                <w:lang w:val="uk-UA"/>
              </w:rPr>
              <w:t xml:space="preserve"> про доходи з податкової інспекції за минулий рік </w:t>
            </w:r>
            <w:r>
              <w:rPr>
                <w:rFonts w:eastAsia="Calibri" w:cs="Times New Roman"/>
                <w:i w:val="false"/>
                <w:iCs w:val="false"/>
                <w:color w:val="000000"/>
                <w:sz w:val="18"/>
                <w:szCs w:val="18"/>
                <w:lang w:val="uk-UA"/>
              </w:rPr>
              <w:t xml:space="preserve">(вул. </w:t>
            </w:r>
            <w:r>
              <w:rPr>
                <w:rFonts w:eastAsia="Calibri" w:cs="Times New Roman"/>
                <w:i w:val="false"/>
                <w:iCs w:val="false"/>
                <w:color w:val="000000"/>
                <w:kern w:val="0"/>
                <w:sz w:val="18"/>
                <w:szCs w:val="18"/>
                <w:lang w:val="uk-UA" w:eastAsia="ru-RU" w:bidi="ar-SA"/>
              </w:rPr>
              <w:t>Залужного</w:t>
            </w:r>
            <w:r>
              <w:rPr>
                <w:rFonts w:eastAsia="Calibri" w:cs="Times New Roman"/>
                <w:i w:val="false"/>
                <w:iCs w:val="false"/>
                <w:color w:val="000000"/>
                <w:sz w:val="18"/>
                <w:szCs w:val="18"/>
                <w:lang w:val="uk-UA"/>
              </w:rPr>
              <w:t>, 7);</w:t>
            </w:r>
          </w:p>
          <w:p>
            <w:pPr>
              <w:pStyle w:val="Normal"/>
              <w:widowControl w:val="false"/>
              <w:spacing w:lineRule="auto" w:line="240" w:before="0" w:after="0"/>
              <w:ind w:left="34" w:hanging="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д</w:t>
            </w:r>
            <w:r>
              <w:rPr>
                <w:rFonts w:eastAsia="Calibri" w:cs="Times New Roman"/>
                <w:i w:val="false"/>
                <w:iCs w:val="false"/>
                <w:color w:val="000000"/>
                <w:sz w:val="24"/>
                <w:szCs w:val="24"/>
                <w:lang w:val="uk-UA"/>
              </w:rPr>
              <w:t>овідки про відсутність боргів за комунальні послуги (для мешканців гуртожитків - довідка керівника ПМКП «</w:t>
            </w:r>
            <w:r>
              <w:rPr>
                <w:rFonts w:eastAsia="Calibri" w:cs="Times New Roman"/>
                <w:i w:val="false"/>
                <w:iCs w:val="false"/>
                <w:color w:val="000000"/>
                <w:kern w:val="0"/>
                <w:sz w:val="24"/>
                <w:szCs w:val="24"/>
                <w:lang w:val="uk-UA" w:eastAsia="ru-RU" w:bidi="ar-SA"/>
              </w:rPr>
              <w:t>ЖКС</w:t>
            </w:r>
            <w:r>
              <w:rPr>
                <w:rFonts w:eastAsia="Calibri" w:cs="Times New Roman"/>
                <w:i w:val="false"/>
                <w:iCs w:val="false"/>
                <w:color w:val="000000"/>
                <w:sz w:val="24"/>
                <w:szCs w:val="24"/>
                <w:lang w:val="uk-UA"/>
              </w:rPr>
              <w:t>»);</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опія довіреності (у разі подання заяви</w:t>
            </w:r>
          </w:p>
          <w:p>
            <w:pPr>
              <w:pStyle w:val="Normal"/>
              <w:widowControl w:val="false"/>
              <w:spacing w:lineRule="auto" w:line="240" w:before="0" w:after="0"/>
              <w:ind w:left="34" w:right="-284"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уповноваженою особою), копії документів, що посвідчують уповноважену особу;</w:t>
            </w:r>
          </w:p>
          <w:p>
            <w:pPr>
              <w:pStyle w:val="Normal"/>
              <w:widowControl w:val="false"/>
              <w:spacing w:lineRule="auto" w:line="240" w:before="0" w:after="0"/>
              <w:ind w:left="34" w:right="0" w:firstLine="340"/>
              <w:jc w:val="both"/>
              <w:rPr>
                <w:color w:val="000000"/>
              </w:rPr>
            </w:pPr>
            <w:r>
              <w:rPr>
                <w:color w:val="000000"/>
              </w:rPr>
              <w:t>При подачі документів обов’язкове пред’явлення їх оригіналів для звірки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9</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10</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11</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Протягом 30</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календарних</w:t>
            </w:r>
            <w:r>
              <w:rPr>
                <w:rFonts w:eastAsia="Calibri" w:cs="Times New Roman"/>
                <w:i w:val="false"/>
                <w:iCs w:val="false"/>
                <w:color w:val="000000"/>
                <w:sz w:val="24"/>
                <w:szCs w:val="24"/>
                <w:lang w:val="uk-UA"/>
              </w:rPr>
              <w:t xml:space="preserve"> днів </w:t>
            </w:r>
            <w:r>
              <w:rPr>
                <w:rFonts w:eastAsia="Calibri" w:cs="Times New Roman"/>
                <w:i w:val="false"/>
                <w:iCs w:val="false"/>
                <w:color w:val="000000"/>
                <w:kern w:val="0"/>
                <w:sz w:val="24"/>
                <w:szCs w:val="24"/>
                <w:lang w:val="uk-UA" w:eastAsia="ru-RU" w:bidi="ar-SA"/>
              </w:rPr>
              <w:t>після подання заяви та документів, необхідних для надання адміністративної послуги.</w:t>
            </w:r>
          </w:p>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12</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13</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w:t>
            </w:r>
          </w:p>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 для проживання в соціальній квартирі надається копія р</w:t>
            </w:r>
            <w:r>
              <w:rPr>
                <w:rFonts w:eastAsia="Calibri" w:cs="Times New Roman"/>
                <w:i w:val="false"/>
                <w:iCs w:val="false"/>
                <w:color w:val="000000"/>
                <w:sz w:val="24"/>
                <w:szCs w:val="24"/>
                <w:lang w:val="uk-UA"/>
              </w:rPr>
              <w:t xml:space="preserve">ішення виконавчого комітету про </w:t>
            </w:r>
            <w:r>
              <w:rPr>
                <w:rFonts w:eastAsia="Calibri" w:cs="Times New Roman"/>
                <w:i w:val="false"/>
                <w:iCs w:val="false"/>
                <w:color w:val="000000"/>
                <w:kern w:val="0"/>
                <w:sz w:val="24"/>
                <w:szCs w:val="24"/>
                <w:lang w:val="uk-UA" w:eastAsia="ru-RU" w:bidi="ar-SA"/>
              </w:rPr>
              <w:t>продовження строку дії договору найму та додаткова угода до договору найму соціального житла;</w:t>
            </w:r>
          </w:p>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 для проживання в соціальному гуртожитку надається додаткова угода до договору найму житлового приміщення у соціальному гуртожитку.</w:t>
            </w:r>
          </w:p>
          <w:p>
            <w:pPr>
              <w:pStyle w:val="Normal"/>
              <w:widowControl w:val="false"/>
              <w:spacing w:lineRule="auto" w:line="240" w:before="0" w:after="0"/>
              <w:ind w:left="0" w:right="0" w:firstLine="340"/>
              <w:jc w:val="both"/>
              <w:rPr>
                <w:color w:val="000000"/>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6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  відповіді (результату)</w:t>
            </w:r>
          </w:p>
        </w:tc>
        <w:tc>
          <w:tcPr>
            <w:tcW w:w="59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284"/>
              <w:jc w:val="both"/>
              <w:rPr>
                <w:lang w:val="uk-UA"/>
              </w:rPr>
            </w:pPr>
            <w:r>
              <w:rPr>
                <w:lang w:val="uk-UA"/>
              </w:rPr>
              <w:t xml:space="preserve">Результат надання адміністративної послуги </w:t>
            </w:r>
            <w:r>
              <w:rPr>
                <w:rFonts w:eastAsia="Times New Roman" w:cs="Times New Roman"/>
                <w:color w:val="auto"/>
                <w:kern w:val="0"/>
                <w:sz w:val="24"/>
                <w:szCs w:val="24"/>
                <w:lang w:val="uk-UA" w:eastAsia="ru-RU" w:bidi="ar-SA"/>
              </w:rPr>
              <w:t xml:space="preserve">вручається </w:t>
            </w:r>
            <w:r>
              <w:rPr>
                <w:lang w:val="uk-UA"/>
              </w:rPr>
              <w:t>особисто заявник</w:t>
            </w:r>
            <w:r>
              <w:rPr>
                <w:rFonts w:eastAsia="Times New Roman" w:cs="Times New Roman"/>
                <w:color w:val="auto"/>
                <w:kern w:val="0"/>
                <w:sz w:val="24"/>
                <w:szCs w:val="24"/>
                <w:lang w:val="uk-UA" w:eastAsia="ru-RU" w:bidi="ar-SA"/>
              </w:rPr>
              <w:t>у (</w:t>
            </w:r>
            <w:r>
              <w:rPr>
                <w:lang w:val="uk-UA"/>
              </w:rPr>
              <w:t>його довіреній особі</w:t>
            </w:r>
            <w:r>
              <w:rPr>
                <w:rFonts w:eastAsia="Times New Roman" w:cs="Times New Roman"/>
                <w:color w:val="auto"/>
                <w:kern w:val="0"/>
                <w:sz w:val="24"/>
                <w:szCs w:val="24"/>
                <w:lang w:val="uk-UA" w:eastAsia="ru-RU" w:bidi="ar-SA"/>
              </w:rPr>
              <w:t>)</w:t>
            </w:r>
            <w:r>
              <w:rPr>
                <w:lang w:val="uk-UA"/>
              </w:rPr>
              <w:t xml:space="preserve"> або надсилається поштою</w:t>
            </w:r>
          </w:p>
        </w:tc>
      </w:tr>
      <w:tr>
        <w:trPr/>
        <w:tc>
          <w:tcPr>
            <w:tcW w:w="667"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lang w:val="uk-UA"/>
              </w:rPr>
            </w:pPr>
            <w:r>
              <w:rPr>
                <w:lang w:val="uk-UA"/>
              </w:rPr>
              <w:t>15.</w:t>
            </w:r>
          </w:p>
        </w:tc>
        <w:tc>
          <w:tcPr>
            <w:tcW w:w="3032"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Спосіб та строки оскарження</w:t>
            </w:r>
          </w:p>
        </w:tc>
        <w:tc>
          <w:tcPr>
            <w:tcW w:w="5912"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284"/>
              <w:jc w:val="both"/>
              <w:rPr>
                <w:color w:val="000000"/>
                <w:sz w:val="24"/>
                <w:szCs w:val="24"/>
                <w:lang w:val="uk-UA"/>
              </w:rPr>
            </w:pPr>
            <w:r>
              <w:rPr>
                <w:color w:val="000000"/>
                <w:sz w:val="24"/>
                <w:szCs w:val="24"/>
                <w:shd w:fill="FFFFFF" w:val="clear"/>
                <w:lang w:val="uk-UA"/>
              </w:rPr>
              <w:t>Розгляд скарг здійснюється у судовому порядку</w:t>
            </w:r>
          </w:p>
        </w:tc>
      </w:tr>
    </w:tbl>
    <w:p>
      <w:pPr>
        <w:pStyle w:val="Normal"/>
        <w:spacing w:lineRule="auto" w:line="240" w:before="0" w:after="0"/>
        <w:ind w:left="284" w:hanging="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spacing w:lineRule="auto" w:line="240" w:before="0" w:after="0"/>
        <w:ind w:left="284" w:hanging="0"/>
        <w:jc w:val="center"/>
        <w:rPr>
          <w:rFonts w:ascii="Times New Roman" w:hAnsi="Times New Roman"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p>
      <w:pPr>
        <w:pStyle w:val="Normal"/>
        <w:widowControl/>
        <w:suppressAutoHyphens w:val="true"/>
        <w:bidi w:val="0"/>
        <w:spacing w:lineRule="auto" w:line="240" w:before="0" w:after="0"/>
        <w:ind w:left="57" w:right="0" w:hanging="0"/>
        <w:jc w:val="left"/>
        <w:rPr>
          <w:i w:val="false"/>
          <w:i w:val="false"/>
          <w:iCs w:val="false"/>
          <w:color w:val="000000"/>
        </w:rPr>
      </w:pPr>
      <w:r>
        <w:rPr>
          <w:rFonts w:eastAsia="Calibri" w:cs="Times New Roman"/>
          <w:i w:val="false"/>
          <w:iCs w:val="false"/>
          <w:color w:val="000000"/>
          <w:sz w:val="24"/>
          <w:szCs w:val="24"/>
        </w:rPr>
        <w:t xml:space="preserve">Начальник відділу </w:t>
      </w:r>
    </w:p>
    <w:p>
      <w:pPr>
        <w:pStyle w:val="Normal"/>
        <w:rPr>
          <w:i w:val="false"/>
          <w:i w:val="false"/>
          <w:iCs w:val="false"/>
          <w:color w:val="000000"/>
        </w:rPr>
      </w:pPr>
      <w:r>
        <w:rPr>
          <w:rFonts w:eastAsia="Calibri" w:cs="Times New Roman"/>
          <w:i w:val="false"/>
          <w:iCs w:val="false"/>
          <w:color w:val="000000"/>
          <w:sz w:val="24"/>
          <w:szCs w:val="24"/>
        </w:rPr>
        <w:t xml:space="preserve"> </w:t>
      </w:r>
      <w:r>
        <w:rPr>
          <w:rFonts w:eastAsia="Calibri" w:cs="Times New Roman"/>
          <w:i w:val="false"/>
          <w:iCs w:val="false"/>
          <w:color w:val="000000"/>
          <w:sz w:val="24"/>
          <w:szCs w:val="24"/>
        </w:rPr>
        <w:t xml:space="preserve">обліку </w:t>
      </w:r>
      <w:r>
        <w:rPr>
          <w:rFonts w:eastAsia="Calibri" w:cs="Times New Roman"/>
          <w:i w:val="false"/>
          <w:iCs w:val="false"/>
          <w:color w:val="000000"/>
          <w:sz w:val="24"/>
          <w:szCs w:val="24"/>
          <w:lang w:val="uk-UA"/>
        </w:rPr>
        <w:t xml:space="preserve">та розподілу житла                                                                                    </w:t>
      </w:r>
      <w:r>
        <w:rPr>
          <w:rFonts w:eastAsia="Calibri" w:cs="Times New Roman"/>
          <w:i w:val="false"/>
          <w:iCs w:val="false"/>
          <w:color w:val="000000"/>
          <w:kern w:val="0"/>
          <w:sz w:val="24"/>
          <w:szCs w:val="24"/>
          <w:lang w:val="uk-UA" w:eastAsia="ru-RU" w:bidi="ar-SA"/>
        </w:rPr>
        <w:t>Галина КРУТІНЬ</w:t>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8"/>
  <w:autoHyphenation w:val="true"/>
  <w:compat>
    <w:compatSetting w:name="compatibilityMode" w:uri="http://schemas.microsoft.com/office/word" w:val="1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4211</TotalTime>
  <Application>LibreOffice/7.0.3.1$Windows_X86_64 LibreOffice_project/d7547858d014d4cf69878db179d326fc3483e082</Application>
  <Pages>3</Pages>
  <Words>926</Words>
  <Characters>6213</Characters>
  <CharactersWithSpaces>7523</CharactersWithSpaces>
  <Paragraphs>117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2016-04-14T10:41:00Z</dcterms:created>
  <dc:creator>Work1</dc:creator>
  <dc:description/>
  <dc:language>uk-UA</dc:language>
  <cp:lastModifiedBy/>
  <cp:lastPrinted>2024-04-05T09:20:19Z</cp:lastPrinted>
  <dcterms:modified xsi:type="dcterms:W3CDTF">2024-04-29T14:13:38Z</dcterms:modified>
  <cp:revision>511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