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5776595</wp:posOffset>
                </wp:positionH>
                <wp:positionV relativeFrom="paragraph">
                  <wp:posOffset>-556895</wp:posOffset>
                </wp:positionV>
                <wp:extent cx="639445" cy="2489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24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54.85pt;margin-top:-43.85pt;width:50.25pt;height:19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3664585</wp:posOffset>
                </wp:positionH>
                <wp:positionV relativeFrom="paragraph">
                  <wp:posOffset>-386080</wp:posOffset>
                </wp:positionV>
                <wp:extent cx="2821305" cy="528320"/>
                <wp:effectExtent l="0" t="0" r="0" b="0"/>
                <wp:wrapNone/>
                <wp:docPr id="3" name="Врезка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00" cy="52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01.11.21 р.</w:t>
                            </w:r>
                          </w:p>
                          <w:p>
                            <w:pPr>
                              <w:pStyle w:val="Style21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_0" path="m0,0l-2147483645,0l-2147483645,-2147483646l0,-2147483646xe" stroked="f" style="position:absolute;margin-left:288.55pt;margin-top:-30.4pt;width:222.05pt;height:41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1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01.11.21 р.</w:t>
                      </w:r>
                    </w:p>
                    <w:p>
                      <w:pPr>
                        <w:pStyle w:val="Style21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5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53340</wp:posOffset>
                </wp:positionV>
                <wp:extent cx="6125210" cy="19050"/>
                <wp:effectExtent l="0" t="0" r="0" b="0"/>
                <wp:wrapNone/>
                <wp:docPr id="6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pt" to="483.5pt,4.9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12.08.2021р.           </w:t>
      </w:r>
      <w:r>
        <w:rPr>
          <w:rFonts w:cs="Times New Roman"/>
          <w:sz w:val="26"/>
          <w:szCs w:val="26"/>
          <w:lang w:val="ru-RU"/>
        </w:rPr>
        <w:t xml:space="preserve">                              м.Покров                                                      №</w:t>
      </w:r>
      <w:r>
        <w:rPr>
          <w:rFonts w:cs="Times New Roman"/>
          <w:sz w:val="26"/>
          <w:szCs w:val="26"/>
          <w:lang w:val="uk-UA"/>
        </w:rPr>
        <w:t>368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Про встановлення ТОВ «АПС ПАУЕР ТЕХНОЛОДЖИ»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На підставі звернення ТОВ «АПС ПАУЕР ТЕХНОЛОДЖИ» від 30.07.2021 року №4016/0/1-21 про встановлення тарифу на теплову енергію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з використанням альтернативних джерел енергії, рішення виконавчого комітету Покровської міської ради від 12 серпня 2021 року “Про встановлення ТОВ “АПС ПАУЕР ТЕХНОЛОДЖИ” тарифу на теплову енергію (у тому числі її виробництво,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транспортування та постачання)”,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/>
          <w:bCs/>
          <w:iCs/>
          <w:sz w:val="26"/>
          <w:szCs w:val="26"/>
          <w:shd w:fill="auto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Встановити ТОВ «АПС ПАУЕР ТЕХНОЛОДЖИ» тариф на теплову енергію (у тому числі її виробництво, транспортування та постачання),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 xml:space="preserve">що здійснює її виробництво на установках з використанням альтернативних джерел енергії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000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,84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(три тисячі грн., 84 коп.) грн./Гкал (з ПДВ), в тому числі: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2968,84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транспортування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24,39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7,61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20 жовтня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2020 року №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hi-IN"/>
        </w:rPr>
        <w:t>406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4.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 С.С. Курасов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LibreOffice/7.1.5.2$Linux_X86_64 LibreOffice_project/10$Build-2</Application>
  <AppVersion>15.0000</AppVersion>
  <Pages>1</Pages>
  <Words>283</Words>
  <Characters>1816</Characters>
  <CharactersWithSpaces>2369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2021-11-08T14:25:36Z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