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5693410</wp:posOffset>
                </wp:positionH>
                <wp:positionV relativeFrom="paragraph">
                  <wp:posOffset>-443230</wp:posOffset>
                </wp:positionV>
                <wp:extent cx="638810" cy="18161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48.3pt;margin-top:-34.9pt;width:50.2pt;height:14.2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362585" cy="5429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5" t="-108" r="-145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24575" cy="1841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96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85pt" to="483.45pt,4.5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  <w:t xml:space="preserve">  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РІШЕННЯ</w:t>
      </w:r>
    </w:p>
    <w:p>
      <w:pPr>
        <w:pStyle w:val="BodyText2"/>
        <w:bidi w:val="0"/>
        <w:ind w:left="0" w:right="0" w:hanging="0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lang w:val="uk-UA"/>
        </w:rPr>
        <w:t xml:space="preserve">12.08.2021р.           </w:t>
      </w:r>
      <w:r>
        <w:rPr>
          <w:rFonts w:cs="Times New Roman"/>
          <w:sz w:val="26"/>
          <w:szCs w:val="26"/>
          <w:lang w:val="ru-RU"/>
        </w:rPr>
        <w:t xml:space="preserve">                              м.Покров                                                      №</w:t>
      </w:r>
      <w:r>
        <w:rPr>
          <w:rFonts w:cs="Times New Roman"/>
          <w:sz w:val="26"/>
          <w:szCs w:val="26"/>
          <w:lang w:val="uk-UA"/>
        </w:rPr>
        <w:t>368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669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Про встановлення ТОВ «АПС ПАУЕР ТЕХНОЛОДЖИ» 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68" w:hanging="0"/>
        <w:jc w:val="left"/>
        <w:rPr>
          <w:rFonts w:ascii="Times New Roman" w:hAnsi="Times New Roman" w:cs="Times New Roman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На підставі звернення ТОВ «АПС ПАУЕР ТЕХНОЛОДЖИ» від 30.07.2021 року №4016/0/1-21 про встановлення тарифу на теплову енергію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(у тому числі її виробництво, транспортування та постачання)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з використанням альтернативних джерел енергії, рішення виконавчого комітету Покровської міської ради від 12 серпня 2021 року “Про встановлення ТОВ “АПС ПАУЕР ТЕХНОЛОДЖИ” тарифу на теплову енергію (у тому числі її виробництво,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транспортування та постачання)”,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керуючись статтею 20 Закону України “Про теплопостачання”, статтею 28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keepNext w:val="true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keepNext w:val="true"/>
        <w:bidi w:val="0"/>
        <w:spacing w:before="0" w:after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shd w:fill="auto" w:val="clear"/>
          <w:lang w:eastAsia="ru-RU"/>
        </w:rPr>
        <w:t>ВИРІШИВ:</w:t>
      </w:r>
      <w:r>
        <w:rPr>
          <w:rFonts w:eastAsia="Times New Roman" w:cs="Times New Roman" w:ascii="Times New Roman" w:hAnsi="Times New Roman"/>
          <w:b/>
          <w:bCs/>
          <w:iCs/>
          <w:sz w:val="26"/>
          <w:szCs w:val="26"/>
          <w:shd w:fill="auto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  <w:t xml:space="preserve">   </w:t>
      </w:r>
    </w:p>
    <w:p>
      <w:pPr>
        <w:pStyle w:val="Normal"/>
        <w:keepNext w:val="tru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iCs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1. Встановити ТОВ «АПС ПАУЕР ТЕХНОЛОДЖИ» тариф на теплову енергію (у тому числі її виробництво, транспортування та постачання),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 xml:space="preserve">що здійснює її виробництво на установках з використанням альтернативних джерел енергії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для потреб установ та організацій, що фінансуються з державного чи місцевого бюджету, на рівні 90 відсотків діючого для зазначеного суб’єкта господарювання тарифу на теплову енергію, вироблену з використанням природного газу, для потреб відповідної категорії споживачів в розмірі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ar-SA"/>
        </w:rPr>
        <w:t>000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,84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(три тисячі грн., 84 коп.) грн./Гкал (з ПДВ), в тому числі:</w:t>
      </w:r>
    </w:p>
    <w:p>
      <w:pPr>
        <w:pStyle w:val="Normal"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виробництво теплової енергії 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2968,84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ПДВ);</w:t>
      </w:r>
    </w:p>
    <w:p>
      <w:pPr>
        <w:pStyle w:val="Normal"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транспортування теплової енергії —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ar-SA"/>
        </w:rPr>
        <w:t>24,39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ПДВ);</w:t>
      </w:r>
    </w:p>
    <w:p>
      <w:pPr>
        <w:pStyle w:val="Normal"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постачання теплової енергії 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7,61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 (з ПДВ).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Встановити, що зазначений тариф вводиться в дію з дати офіційного оприлюднення даного рішення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3. Рішення виконавчого комітету Покровської міської ради від                  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20 жовтня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2020 року №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hi-IN"/>
        </w:rPr>
        <w:t>406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вважати таким, що втратило чинність.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4. Контроль за виконанням  цього  рішення  покласти  на заступника міського голови Чистякова О.Г.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Секретар міської ради                                                                                    С.С. Курасов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LibreOffice/7.1.3.2$Windows_X86_64 LibreOffice_project/47f78053abe362b9384784d31a6e56f8511eb1c1</Application>
  <AppVersion>15.0000</AppVersion>
  <Pages>1</Pages>
  <Words>274</Words>
  <Characters>1762</Characters>
  <CharactersWithSpaces>2303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2021-08-05T13:43:41Z</dcterms:created>
  <dc:creator/>
  <dc:description/>
  <dc:language>uk-UA</dc:language>
  <cp:lastModifiedBy/>
  <dcterms:modified xsi:type="dcterms:W3CDTF">2021-08-16T11:33:29Z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