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5483860</wp:posOffset>
                </wp:positionH>
                <wp:positionV relativeFrom="paragraph">
                  <wp:posOffset>-243205</wp:posOffset>
                </wp:positionV>
                <wp:extent cx="810260" cy="176530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2" stroked="f" style="position:absolute;margin-left:431.8pt;margin-top:-19.15pt;width:63.7pt;height:13.8pt;mso-wrap-style:square;v-text-anchor:top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362585" cy="54292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45" t="-108" r="-145" b="-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5"/>
        <w:bidi w:val="0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5"/>
        <w:bidi w:val="0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mc:AlternateContent>
          <mc:Choice Requires="wps">
            <w:drawing>
              <wp:anchor behindDoc="1" distT="8890" distB="8890" distL="8890" distR="8890" simplePos="0" locked="0" layoutInCell="0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40640</wp:posOffset>
                </wp:positionV>
                <wp:extent cx="6123305" cy="17145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2520" cy="936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3.2pt" to="483.35pt,3.9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5"/>
        <w:bidi w:val="0"/>
        <w:spacing w:before="0" w:after="0"/>
        <w:jc w:val="both"/>
        <w:rPr/>
      </w:pPr>
      <w:r>
        <w:rPr>
          <w:rFonts w:eastAsia="Times New Roman" w:cs="Times New Roman" w:ascii="Times New Roman" w:hAnsi="Times New Roman"/>
          <w:b/>
          <w:sz w:val="28"/>
          <w:szCs w:val="28"/>
          <w:lang w:val="uk-UA"/>
        </w:rPr>
        <w:t xml:space="preserve">         </w:t>
      </w:r>
      <w:r>
        <w:rPr>
          <w:rFonts w:eastAsia="Times New Roman" w:cs="Times New Roman" w:ascii="Times New Roman" w:hAnsi="Times New Roman"/>
          <w:b/>
          <w:sz w:val="24"/>
          <w:szCs w:val="24"/>
          <w:lang w:val="uk-UA"/>
        </w:rPr>
        <w:t xml:space="preserve">                                                     </w:t>
      </w:r>
      <w:r>
        <w:rPr>
          <w:rFonts w:eastAsia="Times New Roman" w:cs="Times New Roman" w:ascii="Times New Roman" w:hAnsi="Times New Roman"/>
          <w:b/>
          <w:sz w:val="26"/>
          <w:szCs w:val="26"/>
          <w:lang w:val="uk-UA"/>
        </w:rPr>
        <w:t xml:space="preserve">  </w:t>
      </w:r>
      <w:r>
        <w:rPr>
          <w:rFonts w:cs="Times New Roman" w:ascii="Times New Roman" w:hAnsi="Times New Roman"/>
          <w:b/>
          <w:sz w:val="26"/>
          <w:szCs w:val="26"/>
          <w:lang w:val="uk-UA"/>
        </w:rPr>
        <w:t>РІШЕННЯ</w:t>
      </w:r>
    </w:p>
    <w:p>
      <w:pPr>
        <w:pStyle w:val="BodyText2"/>
        <w:widowControl/>
        <w:tabs>
          <w:tab w:val="clear" w:pos="709"/>
          <w:tab w:val="left" w:pos="1980" w:leader="none"/>
        </w:tabs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/>
          <w:color w:val="auto"/>
          <w:sz w:val="26"/>
          <w:szCs w:val="26"/>
          <w:lang w:val="uk-UA" w:eastAsia="zh-CN" w:bidi="ar-SA"/>
        </w:rPr>
        <w:t>12.08.2021р.</w:t>
      </w:r>
      <w:r>
        <w:rPr>
          <w:rFonts w:eastAsia="Times New Roman" w:cs="Times New Roman"/>
          <w:color w:val="auto"/>
          <w:sz w:val="26"/>
          <w:szCs w:val="26"/>
          <w:lang w:val="ru-RU" w:eastAsia="zh-CN" w:bidi="ar-SA"/>
        </w:rPr>
        <w:t xml:space="preserve">                       </w:t>
      </w:r>
      <w:r>
        <w:rPr>
          <w:rFonts w:cs="Times New Roman"/>
          <w:sz w:val="26"/>
          <w:szCs w:val="26"/>
          <w:lang w:val="ru-RU"/>
        </w:rPr>
        <w:t xml:space="preserve">                   м.Покров                                                    №</w:t>
      </w:r>
      <w:r>
        <w:rPr>
          <w:rFonts w:cs="Times New Roman"/>
          <w:sz w:val="26"/>
          <w:szCs w:val="26"/>
          <w:lang w:val="uk-UA"/>
        </w:rPr>
        <w:t>366</w:t>
      </w:r>
    </w:p>
    <w:p>
      <w:pPr>
        <w:pStyle w:val="BodyText2"/>
        <w:bidi w:val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BodyText2"/>
        <w:bidi w:val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5669" w:hanging="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 xml:space="preserve">Про встановлення 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val="uk-UA" w:eastAsia="ru-RU"/>
        </w:rPr>
        <w:t>ТОВ «Укртехресурс»</w:t>
      </w:r>
      <w:r>
        <w:rPr>
          <w:rFonts w:cs="Times New Roman" w:ascii="Times New Roman" w:hAnsi="Times New Roman"/>
          <w:sz w:val="26"/>
          <w:szCs w:val="26"/>
          <w:shd w:fill="auto" w:val="clear"/>
          <w:lang w:val="uk-UA"/>
        </w:rPr>
        <w:t xml:space="preserve"> тарифу на теплову енергію (у тому числі її виробництво та постачання), що здійснює її виробництво на установках з використанням альтернативних джерел енергії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2268" w:hanging="0"/>
        <w:jc w:val="left"/>
        <w:rPr>
          <w:rFonts w:ascii="Times New Roman" w:hAnsi="Times New Roman" w:cs="Times New Roman"/>
          <w:sz w:val="26"/>
          <w:szCs w:val="26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2268" w:hanging="0"/>
        <w:jc w:val="left"/>
        <w:rPr>
          <w:rFonts w:ascii="Times New Roman" w:hAnsi="Times New Roman" w:cs="Times New Roman"/>
          <w:sz w:val="26"/>
          <w:szCs w:val="26"/>
          <w:shd w:fill="auto" w:val="clear"/>
        </w:rPr>
      </w:pPr>
      <w:r>
        <w:rPr>
          <w:rFonts w:cs="Times New Roman" w:ascii="Times New Roman" w:hAnsi="Times New Roman"/>
          <w:sz w:val="26"/>
          <w:szCs w:val="26"/>
          <w:shd w:fill="auto" w:val="clear"/>
        </w:rPr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На підставі звернення ТОВ «Укртехресурс» про встановлення тарифу на теплову енергію 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val="uk-UA" w:eastAsia="ru-RU"/>
        </w:rPr>
        <w:t>(у тому числі її виробництво та постачання)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 з використанням альтернативних джерел енергії, рішення виконавчого комітету Покровської міської ради від                12 серпня 2021р. “Про встановлення ТОВ «Укртехресурс» тарифу на теплову енергію (у тому числі її виробництво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val="uk-UA" w:eastAsia="ru-RU"/>
        </w:rPr>
        <w:t xml:space="preserve"> та постачання)”,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 керуючись статтею 20 Закону України “Про теплопостачання”, статтею 28 Закону України «Про місцеве самоврядування в Україні», виконавчий комітет Покровської міської ради</w:t>
      </w:r>
    </w:p>
    <w:p>
      <w:pPr>
        <w:pStyle w:val="Normal"/>
        <w:keepNext w:val="true"/>
        <w:bidi w:val="0"/>
        <w:spacing w:before="0" w:after="0"/>
        <w:ind w:left="0" w:right="0" w:hanging="0"/>
        <w:jc w:val="both"/>
        <w:rPr>
          <w:rFonts w:ascii="Times New Roman" w:hAnsi="Times New Roman" w:eastAsia="Times New Roman" w:cs="Times New Roman"/>
          <w:sz w:val="26"/>
          <w:szCs w:val="26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</w:r>
    </w:p>
    <w:p>
      <w:pPr>
        <w:pStyle w:val="Normal"/>
        <w:keepNext w:val="true"/>
        <w:bidi w:val="0"/>
        <w:spacing w:before="0" w:after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shd w:fill="auto" w:val="clear"/>
          <w:lang w:eastAsia="ru-RU"/>
        </w:rPr>
        <w:t>ВИРІШИВ:</w:t>
      </w:r>
      <w:r>
        <w:rPr>
          <w:rFonts w:eastAsia="Times New Roman" w:cs="Times New Roman" w:ascii="Times New Roman" w:hAnsi="Times New Roman"/>
          <w:b/>
          <w:bCs/>
          <w:iCs/>
          <w:sz w:val="26"/>
          <w:szCs w:val="26"/>
          <w:shd w:fill="auto" w:val="clear"/>
          <w:lang w:eastAsia="ru-RU"/>
        </w:rPr>
        <w:t xml:space="preserve">  </w:t>
      </w:r>
      <w:r>
        <w:rPr>
          <w:rFonts w:eastAsia="Times New Roman" w:cs="Times New Roman" w:ascii="Times New Roman" w:hAnsi="Times New Roman"/>
          <w:bCs/>
          <w:iCs/>
          <w:sz w:val="26"/>
          <w:szCs w:val="26"/>
          <w:shd w:fill="auto" w:val="clear"/>
          <w:lang w:eastAsia="ru-RU"/>
        </w:rPr>
        <w:t xml:space="preserve">   </w:t>
      </w:r>
    </w:p>
    <w:p>
      <w:pPr>
        <w:pStyle w:val="Normal"/>
        <w:keepNext w:val="true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bCs/>
          <w:iCs/>
          <w:sz w:val="26"/>
          <w:szCs w:val="26"/>
          <w:shd w:fill="auto" w:val="clear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z w:val="26"/>
          <w:szCs w:val="26"/>
          <w:shd w:fill="auto" w:val="clear"/>
          <w:lang w:eastAsia="ru-RU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1.  Встановити ТОВ «Укртехресурс» тариф на теплову енергію (у тому числі її виробництво та постачання), 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val="uk-UA" w:eastAsia="ru-RU"/>
        </w:rPr>
        <w:t xml:space="preserve">що здійснює її виробництво на установках з використанням альтернативних джерел енергії 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для потреб установ та організацій, що фінансуються з державного чи місцевого бюджету, на рівні 90 відсотків діючого для зазначеного суб’єкта господарювання тарифу на теплову енергію, вироблену з використанням природного газу, для потреб відповідної категорії споживачів в розмірі    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ru-RU" w:bidi="ar-SA"/>
        </w:rPr>
        <w:t>3523,23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 (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ru-RU" w:bidi="hi-IN"/>
        </w:rPr>
        <w:t xml:space="preserve">три тисячі п’ятсот двадцять три 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грн., 23 коп.) грн./Гкал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eastAsia="ru-RU"/>
        </w:rPr>
        <w:t>без ПДВ (платник єдиного податку)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>, в тому числі: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      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- виробництво теплової енергії — </w:t>
      </w: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ru-RU" w:bidi="ar-SA"/>
        </w:rPr>
        <w:t>3512,59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 грн./Гкал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eastAsia="ru-RU"/>
        </w:rPr>
        <w:t xml:space="preserve"> без ПДВ (платник єдиного податку)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>;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    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- постачання теплової енергії —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10,64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 грн./Гкал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6"/>
          <w:szCs w:val="26"/>
          <w:shd w:fill="auto" w:val="clear"/>
          <w:lang w:eastAsia="ru-RU"/>
        </w:rPr>
        <w:t xml:space="preserve"> без ПДВ (платник єдиного податку)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>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2.  </w:t>
      </w:r>
      <w:r>
        <w:rPr>
          <w:rFonts w:eastAsia="Times New Roman" w:cs="Times New Roman" w:ascii="Times New Roman" w:hAnsi="Times New Roman"/>
          <w:color w:val="000000"/>
          <w:sz w:val="26"/>
          <w:szCs w:val="26"/>
          <w:shd w:fill="auto" w:val="clear"/>
          <w:lang w:val="uk-UA" w:eastAsia="ru-RU" w:bidi="ar-SA"/>
        </w:rPr>
        <w:t>Встановити, що зазначений тариф вводиться в дію з дати офіційного оприлюднення даного рішення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>.</w:t>
      </w:r>
    </w:p>
    <w:p>
      <w:pPr>
        <w:pStyle w:val="Normal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3. Рішення виконавчого комітету Покровської міської ради від                             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shd w:fill="auto" w:val="clear"/>
          <w:lang w:val="uk-UA" w:eastAsia="ru-RU" w:bidi="hi-IN"/>
        </w:rPr>
        <w:t>21 жовтня 2020р. м. Покров № 411</w:t>
      </w: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eastAsia="ru-RU"/>
        </w:rPr>
        <w:t xml:space="preserve"> вважати таким, що втратило чинність.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val="uk-UA" w:eastAsia="ru-RU"/>
        </w:rPr>
        <w:t>4.  Контроль за виконанням  цього  рішення  покласти  на заступника міського голови Чистякова О.Г.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shd w:fill="auto" w:val="clear"/>
          <w:lang w:val="uk-UA" w:eastAsia="ru-RU"/>
        </w:rPr>
        <w:t>Секретар міської ради                                                                                        С.С. Курасов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Lohit Devanagari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211</TotalTime>
  <Application>LibreOffice/7.1.3.2$Windows_X86_64 LibreOffice_project/47f78053abe362b9384784d31a6e56f8511eb1c1</Application>
  <AppVersion>15.0000</AppVersion>
  <Pages>1</Pages>
  <Words>262</Words>
  <Characters>1684</Characters>
  <CharactersWithSpaces>2248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2021-08-05T13:43:41Z</dcterms:created>
  <dc:creator/>
  <dc:description/>
  <dc:language>uk-UA</dc:language>
  <cp:lastModifiedBy/>
  <dcterms:modified xsi:type="dcterms:W3CDTF">2021-08-16T11:18:57Z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