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5379085</wp:posOffset>
                </wp:positionH>
                <wp:positionV relativeFrom="page">
                  <wp:posOffset>408305</wp:posOffset>
                </wp:positionV>
                <wp:extent cx="656590" cy="20764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20" cy="207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Liberation Serif;Times New Roman" w:hAnsi="Liberation Serif;Times New Roman" w:eastAsia="NSimSun" w:cs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</w:pPr>
                            <w:r>
                              <w:rPr>
                                <w:rFonts w:eastAsia="NSimSun" w:cs="Liberation Serif;Times New Roman" w:ascii="Liberation Serif;Times New Roman" w:hAnsi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fillcolor="white" stroked="f" style="position:absolute;margin-left:423.55pt;margin-top:32.15pt;width:51.6pt;height:16.25pt;mso-wrap-style:square;v-text-anchor:top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bidi w:val="0"/>
                        <w:spacing w:lineRule="auto" w:line="240" w:before="0" w:after="0"/>
                        <w:jc w:val="left"/>
                        <w:rPr>
                          <w:rFonts w:ascii="Liberation Serif;Times New Roman" w:hAnsi="Liberation Serif;Times New Roman" w:eastAsia="NSimSun" w:cs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</w:pPr>
                      <w:r>
                        <w:rPr>
                          <w:rFonts w:eastAsia="NSimSun" w:cs="Liberation Serif;Times New Roman" w:ascii="Liberation Serif;Times New Roman" w:hAnsi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-476250</wp:posOffset>
            </wp:positionV>
            <wp:extent cx="421005" cy="60134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5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5"/>
        <w:bidi w:val="0"/>
        <w:spacing w:lineRule="auto" w:line="240"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5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Style15"/>
        <w:bidi w:val="0"/>
        <w:spacing w:before="0" w:after="0"/>
        <w:jc w:val="left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uk-UA" w:eastAsia="zh-CN" w:bidi="hi-IN"/>
        </w:rPr>
        <w:t xml:space="preserve">20.01.2022 р.                   </w:t>
      </w:r>
      <w:r>
        <w:rPr/>
        <w:t xml:space="preserve">                                 </w:t>
      </w:r>
      <w:r>
        <w:rPr>
          <w:sz w:val="20"/>
          <w:szCs w:val="20"/>
        </w:rPr>
        <w:t>м.Покров</w:t>
      </w:r>
      <w:r>
        <w:rPr/>
        <w:t xml:space="preserve">                                          </w:t>
      </w:r>
      <w:r>
        <w:rPr>
          <w:b w:val="false"/>
          <w:bCs w:val="false"/>
          <w:sz w:val="24"/>
          <w:szCs w:val="24"/>
        </w:rPr>
        <w:t xml:space="preserve">      № </w:t>
      </w:r>
      <w:r>
        <w:rPr>
          <w:rFonts w:eastAsia="Noto Serif CJK SC" w:cs="Lohit Devanagari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2/06-53-22</w:t>
      </w:r>
    </w:p>
    <w:p>
      <w:pPr>
        <w:pStyle w:val="Style15"/>
        <w:bidi w:val="0"/>
        <w:spacing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487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 затвердження умов оренди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вбудованого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нежитлового приміщення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, розташованого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 по вул.Київська, 9, м.Покров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>, включеного до Переліку першого типу</w:t>
      </w:r>
    </w:p>
    <w:p>
      <w:pPr>
        <w:pStyle w:val="Style15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 зв'язку із включенням до Переліку першого типу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вбудованого нежитлового приміщення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 загальною площею 94,2 кв.м., розташованого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по вул.Київська, 9, м.Покров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Нікопольський район,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 xml:space="preserve">Дніпропетровська область,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керуючись Законом України "Про оренду де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ржавного та комунального майна" від 03.10.2019 №157-ІХ, “Порядком переда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чі в оренду державного та комунального майна”, затвердженим постановою КМУ від 03.06.2020 року №483, виконавчий комітет міської ради</w:t>
      </w:r>
    </w:p>
    <w:p>
      <w:pPr>
        <w:pStyle w:val="Normal"/>
        <w:keepNext w:val="tru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 xml:space="preserve">     </w:t>
      </w:r>
    </w:p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Затвердити 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вбудоване нежитлове приміщення загальною площею 94,2 кв.м., розташоване по вул.Київська, 9, м.Покров, Нікопольський район, Дніпропетровська область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”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, передача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якого здійснюється на аукціоні, додаються.</w:t>
      </w:r>
    </w:p>
    <w:p>
      <w:pPr>
        <w:pStyle w:val="Style15"/>
        <w:widowControl/>
        <w:suppressAutoHyphens w:val="true"/>
        <w:bidi w:val="0"/>
        <w:spacing w:lineRule="auto" w:line="240" w:before="0" w:after="14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>2. Контроль за виконанням  цього  рішення  покласти  на заступника міського голови Олександра Чистякова.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Олександр ШАПОВАЛ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5329"/>
        <w:jc w:val="left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ЗАТВЕРДЖЕНО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532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Рішення виконавчого комітету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zh-CN" w:bidi="ar-SA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zh-CN" w:bidi="ar-SA"/>
        </w:rPr>
        <w:t xml:space="preserve">від 20.01.2022 </w:t>
      </w: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val="uk-UA" w:eastAsia="zh-CN" w:bidi="ar-SA"/>
        </w:rPr>
        <w:t>№2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h-CN" w:bidi="hi-IN"/>
        </w:rPr>
        <w:t>/06-53-22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sz w:val="28"/>
          <w:szCs w:val="28"/>
          <w:shd w:fill="FFFF00" w:val="clear"/>
        </w:rPr>
      </w:r>
    </w:p>
    <w:p>
      <w:pPr>
        <w:pStyle w:val="2"/>
        <w:numPr>
          <w:ilvl w:val="1"/>
          <w:numId w:val="2"/>
        </w:numPr>
        <w:tabs>
          <w:tab w:val="clear" w:pos="709"/>
          <w:tab w:val="left" w:pos="5245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вбудоване нежитлове приміщення загальною площею 94,2 кв.м., розташоване по вул.Київська, 9, м.Покров, Нікопольський район, Дніпропетровська область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»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sz w:val="28"/>
          <w:szCs w:val="28"/>
          <w:shd w:fill="FFFF00" w:val="clea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 Умови, на яких здійснюється оренда об’єкта оренди, включеного до Переліку першого типу, а саме: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вбудоване нежитлове приміщення загальною площею 94,2 кв.м., розташоване по вул.Київська, 9, м.Покров, Нікопольський район, Дніпропетровська область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” (далі — Об'єкт оренди):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1.1. Розмір стартової орендної плати для: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- електронного аукціону –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uk-UA" w:bidi="ar-SA"/>
        </w:rPr>
        <w:t>1574,30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грн.;</w:t>
        <w:tab/>
      </w:r>
    </w:p>
    <w:p>
      <w:pPr>
        <w:pStyle w:val="Normal"/>
        <w:spacing w:lineRule="auto" w:line="240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- електронного аукціону із зниженням стартової ціни -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eastAsia="uk-UA"/>
        </w:rPr>
        <w:t>787,15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eastAsia="uk-UA"/>
        </w:rPr>
        <w:t>грн.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;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- електронного аукціону за методом покрокового зниження стартової орендної плати та подальшого подання цінових пропозицій –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eastAsia="uk-UA"/>
        </w:rPr>
        <w:t>787,15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eastAsia="uk-UA"/>
        </w:rPr>
        <w:t>грн.;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1.2. Строк оренди - 5 років.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1.3. Розмір гарантійного внеску для участі в електронному аукціоні становить 3148,60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грн.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1.4. Розмір реєстраційного внеску: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val="uk-UA" w:eastAsia="zh-CN" w:bidi="ar-SA"/>
        </w:rPr>
        <w:t>650,00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грн., що становить 0,1 мінімальної заробітної плати станом на 1 січня поточного року.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1.5. Кількість кроків аукціону за методом покрокового зниження стартової орендної плати та подальшого подання цінових пропозицій становить 1 крок.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1.6. Розмір мінімального кроку аукціону встановлюється на рівні 1 відсотка стартової орендної плати об’єкта оренди.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1.7. Період прийому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1.8. Об'єкт оренди надається переможцю електронного аукціону з передачі майна в оренду без права передачі в суборенду.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1.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val="uk-UA" w:eastAsia="zh-CN" w:bidi="ar-SA"/>
        </w:rPr>
        <w:t>9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. Додаткові умови оренди: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Об’єкт оренди може бути використаний за цільовим призначенням на розсуд орендаря, за винятком таких цільових призначень: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 w:bidi="ar-SA"/>
        </w:rPr>
        <w:t xml:space="preserve">-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Заклади харчування, кафе, бари, ресторани, які здійснюють продаж товарів підакцизної групи.Торговельні об’єкти, які здійснюють продаж товарів підакцизної групи;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 xml:space="preserve">- Нічні клуби. Ресторани з нічним режимом роботи (після 22 год).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Інтернет-кафе;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- Пункти обміну валюти, банкомати, платіжні термінали. Торговельні автомати. Розміщення технічних засобів і антен операторів телекомунікацій,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- Ритуальні послуги. Громадські вбиральні. Збір і сортування вторинної сировини;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- Стоянки автомобілів. Розміщення транспортних підприємств з перевезення пасажирів і вантажів. Станції технічного обсл.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uk-UA" w:bidi="ar-SA"/>
        </w:rPr>
        <w:t>На підставі статті 8 Закону України “Про оренду державного і комунального майна” орендар, визначений за результатами аукціону зобов’язаний відшкодувати балансоутримувачу вартість проведення оцінки об’єкта у розмірі 2500 (дві тисячі пʼятсот) гривень 00 коп.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sz w:val="28"/>
          <w:szCs w:val="28"/>
          <w:shd w:fill="FFFF00" w:val="clear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143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В.о. начальника відділу економіки</w:t>
        <w:tab/>
        <w:t xml:space="preserve">          </w:t>
        <w:tab/>
        <w:tab/>
        <w:t xml:space="preserve">                          Тетяна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val="uk-UA" w:eastAsia="zh-CN" w:bidi="ar-SA"/>
        </w:rPr>
        <w:t>ДРАШКО</w:t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  <w:lang w:val="uk-UA"/>
    </w:rPr>
  </w:style>
  <w:style w:type="character" w:styleId="Style13">
    <w:name w:val="Гіперпосилання"/>
    <w:qFormat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0">
    <w:name w:val="Обычный (веб)"/>
    <w:basedOn w:val="Normal"/>
    <w:qFormat/>
    <w:pPr>
      <w:spacing w:before="280" w:after="280"/>
    </w:pPr>
    <w:rPr/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355</TotalTime>
  <Application>LibreOffice/7.1.5.2$Linux_X86_64 LibreOffice_project/10$Build-2</Application>
  <AppVersion>15.0000</AppVersion>
  <Pages>3</Pages>
  <Words>550</Words>
  <Characters>3852</Characters>
  <CharactersWithSpaces>4739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dcterms:modified xsi:type="dcterms:W3CDTF">2022-01-25T08:59:49Z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