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780" w:leader="none"/>
          <w:tab w:val="left" w:pos="4500" w:leader="none"/>
        </w:tabs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393700</wp:posOffset>
                </wp:positionV>
                <wp:extent cx="6139180" cy="3302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8720" cy="108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0.65pt" to="484.6pt,31.4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-59690</wp:posOffset>
                </wp:positionH>
                <wp:positionV relativeFrom="paragraph">
                  <wp:posOffset>429260</wp:posOffset>
                </wp:positionV>
                <wp:extent cx="6189345" cy="3556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8760" cy="17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75pt,33.15pt" to="482.5pt,34.45pt" ID="Фігура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7EECE680">
                <wp:simplePos x="0" y="0"/>
                <wp:positionH relativeFrom="column">
                  <wp:posOffset>5247640</wp:posOffset>
                </wp:positionH>
                <wp:positionV relativeFrom="paragraph">
                  <wp:posOffset>-395605</wp:posOffset>
                </wp:positionV>
                <wp:extent cx="741680" cy="227330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880" cy="2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3.2pt;margin-top:-31.15pt;width:58.3pt;height:17.8pt" wp14:anchorId="7EECE68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2707005</wp:posOffset>
            </wp:positionH>
            <wp:positionV relativeFrom="paragraph">
              <wp:posOffset>-604520</wp:posOffset>
            </wp:positionV>
            <wp:extent cx="425450" cy="605790"/>
            <wp:effectExtent l="0" t="0" r="0" b="0"/>
            <wp:wrapTopAndBottom/>
            <wp:docPr id="4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bidi w:val="0"/>
        <w:spacing w:before="0" w:after="0"/>
        <w:jc w:val="center"/>
        <w:rPr>
          <w:sz w:val="14"/>
          <w:szCs w:val="14"/>
        </w:rPr>
      </w:pPr>
      <w:r>
        <w:rPr>
          <w:sz w:val="14"/>
          <w:szCs w:val="14"/>
        </w:rPr>
        <mc:AlternateContent>
          <mc:Choice Requires="wps">
            <w:drawing>
              <wp:anchor behindDoc="1" distT="0" distB="0" distL="114935" distR="114935" simplePos="0" locked="0" layoutInCell="1" allowOverlap="1" relativeHeight="6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6320" cy="10795"/>
                <wp:effectExtent l="0" t="0" r="0" b="0"/>
                <wp:wrapNone/>
                <wp:docPr id="5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5pt" to="482.8pt,2.2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7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bidi w:val="0"/>
        <w:spacing w:before="0" w:after="0"/>
        <w:ind w:left="0" w:right="0" w:hanging="0"/>
        <w:jc w:val="both"/>
        <w:rPr/>
      </w:pPr>
      <w:r>
        <w:rPr>
          <w:rFonts w:eastAsia="Times New Roman" w:cs="Bookman Old Style" w:ascii="Bookman Old Style" w:hAnsi="Bookman Old Style"/>
          <w:bCs/>
          <w:color w:val="auto"/>
          <w:sz w:val="28"/>
          <w:szCs w:val="28"/>
          <w:lang w:val="uk-UA" w:eastAsia="zh-CN" w:bidi="ar-SA"/>
        </w:rPr>
        <w:t xml:space="preserve">15.02.2021р               </w:t>
      </w:r>
      <w:r>
        <w:rPr>
          <w:rFonts w:eastAsia="Times New Roman" w:cs="Bookman Old Style" w:ascii="Bookman Old Style" w:hAnsi="Bookman Old Style"/>
          <w:bCs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cs="Bookman Old Style" w:ascii="Bookman Old Style" w:hAnsi="Bookman Old Style"/>
          <w:bCs/>
          <w:sz w:val="28"/>
          <w:szCs w:val="28"/>
          <w:lang w:val="uk-UA"/>
        </w:rPr>
        <w:t xml:space="preserve">                 </w:t>
      </w:r>
      <w:r>
        <w:rPr>
          <w:rFonts w:cs="Bookman Old Style" w:ascii="Bookman Old Style" w:hAnsi="Bookman Old Style"/>
          <w:bCs/>
          <w:sz w:val="24"/>
          <w:szCs w:val="24"/>
          <w:lang w:val="uk-UA"/>
        </w:rPr>
        <w:t xml:space="preserve">      м.Покров  </w:t>
      </w:r>
      <w:r>
        <w:rPr>
          <w:rFonts w:cs="Bookman Old Style" w:ascii="Bookman Old Style" w:hAnsi="Bookman Old Style"/>
          <w:bCs/>
          <w:sz w:val="28"/>
          <w:szCs w:val="28"/>
          <w:lang w:val="uk-UA"/>
        </w:rPr>
        <w:t xml:space="preserve">                                                    №</w:t>
      </w:r>
      <w:r>
        <w:rPr>
          <w:rFonts w:cs="Bookman Old Style" w:ascii="Bookman Old Style" w:hAnsi="Bookman Old Style"/>
          <w:bCs/>
          <w:sz w:val="28"/>
          <w:szCs w:val="28"/>
          <w:lang w:val="uk-UA"/>
        </w:rPr>
        <w:t>28-р</w:t>
      </w:r>
    </w:p>
    <w:p>
      <w:pPr>
        <w:pStyle w:val="Normal"/>
        <w:tabs>
          <w:tab w:val="clear" w:pos="708"/>
          <w:tab w:val="left" w:pos="3780" w:leader="none"/>
          <w:tab w:val="left" w:pos="4500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bCs/>
          <w:color w:val="000000"/>
          <w:sz w:val="16"/>
          <w:szCs w:val="16"/>
          <w:lang w:val="uk-UA"/>
        </w:rPr>
      </w:pPr>
      <w:r>
        <w:rPr>
          <w:bCs/>
          <w:color w:val="0000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 xml:space="preserve">Про відзначення у 2021році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>Дня  Героїв Небесної Сотні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 xml:space="preserve">у Покровській  міській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 xml:space="preserve">територіальній громаді </w:t>
      </w:r>
    </w:p>
    <w:p>
      <w:pPr>
        <w:pStyle w:val="Normal"/>
        <w:tabs>
          <w:tab w:val="clear" w:pos="708"/>
          <w:tab w:val="left" w:pos="180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ab/>
        <w:t xml:space="preserve">  </w:t>
      </w:r>
      <w:r>
        <w:rPr>
          <w:color w:val="000000"/>
          <w:sz w:val="28"/>
          <w:szCs w:val="28"/>
          <w:lang w:val="uk-UA"/>
        </w:rPr>
        <w:t xml:space="preserve">Керуючись ст.42 Закону України “Про місцеве самоврядування в Україні”, на виконання Указу Президента України “Про вшанування подвигу учасників Революції Гідності та увічнення пам’яті Героїв Небесної Сотні” від 11.02.2015  № 69/2015 та з метою </w:t>
      </w:r>
      <w:r>
        <w:rPr>
          <w:rFonts w:cs="Arial"/>
          <w:color w:val="000000"/>
          <w:sz w:val="28"/>
          <w:szCs w:val="28"/>
          <w:shd w:fill="FFFFFF" w:val="clear"/>
          <w:lang w:val="uk-UA"/>
        </w:rPr>
        <w:t xml:space="preserve"> увічнення великої людської, громадянської і національної відваги та самовідданості, сили духу і стійкості громадян, завдяки яким змінено хід історії нашої держави, гідного вшанування подвигу Героїв Небесної Сотні, які віддали своє життя під час Революції гідності </w:t>
      </w:r>
      <w:r>
        <w:rPr>
          <w:bCs/>
          <w:color w:val="000000"/>
          <w:sz w:val="28"/>
          <w:szCs w:val="28"/>
          <w:lang w:val="uk-UA" w:eastAsia="ru-RU"/>
        </w:rPr>
        <w:t xml:space="preserve">в рамках обмежувальних протиепідемічних заходів з попередження поширення коронавірусної хвороби </w:t>
      </w:r>
      <w:r>
        <w:rPr>
          <w:bCs/>
          <w:color w:val="000000"/>
          <w:sz w:val="28"/>
          <w:szCs w:val="28"/>
          <w:lang w:val="en-US" w:eastAsia="ru-RU"/>
        </w:rPr>
        <w:t>COVID</w:t>
      </w:r>
      <w:r>
        <w:rPr>
          <w:bCs/>
          <w:color w:val="000000"/>
          <w:sz w:val="28"/>
          <w:szCs w:val="28"/>
          <w:lang w:val="uk-UA" w:eastAsia="ru-RU"/>
        </w:rPr>
        <w:t>-19</w:t>
      </w:r>
      <w:r>
        <w:rPr>
          <w:b/>
          <w:color w:val="000000"/>
          <w:sz w:val="28"/>
          <w:szCs w:val="28"/>
          <w:lang w:val="uk-UA"/>
        </w:rPr>
        <w:t xml:space="preserve">   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sz w:val="28"/>
          <w:szCs w:val="28"/>
          <w:lang w:val="uk-UA"/>
        </w:rPr>
        <w:t xml:space="preserve">ЗОБОВ’ЯЗУЮ:   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sz w:val="16"/>
          <w:szCs w:val="16"/>
          <w:lang w:val="uk-UA"/>
        </w:rPr>
        <w:t xml:space="preserve">          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1. Затвердити план заходів до Дня Героїв Небесної Сотні у Покровській міській територіальній громаді (додається).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2. Забезпечити: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2.1.В</w:t>
      </w:r>
      <w:r>
        <w:rPr>
          <w:color w:val="000000"/>
          <w:spacing w:val="2"/>
          <w:sz w:val="28"/>
          <w:szCs w:val="28"/>
          <w:lang w:val="uk-UA" w:eastAsia="ru-RU"/>
        </w:rPr>
        <w:t>ідділу культури,  управлінню освіти, відділу молоді та спорту,</w:t>
      </w:r>
      <w:r>
        <w:rPr>
          <w:sz w:val="28"/>
          <w:szCs w:val="28"/>
          <w:lang w:val="uk-UA"/>
        </w:rPr>
        <w:t xml:space="preserve"> ДПТНЗ “Покровський   центр   підготовки та перепідготовки робітничих кадрів” (за згодою), г</w:t>
      </w:r>
      <w:r>
        <w:rPr>
          <w:color w:val="000000"/>
          <w:spacing w:val="2"/>
          <w:sz w:val="28"/>
          <w:szCs w:val="28"/>
          <w:lang w:val="uk-UA" w:eastAsia="ru-RU"/>
        </w:rPr>
        <w:t xml:space="preserve">ромадській організації “Міська спілка воїнів учасників антитерористичної операції м.Покров” (за згодою)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 xml:space="preserve">  виконання зазначених заходів.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2.2.Відділу  культури   (Сударєва Т.М.):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ab/>
        <w:t>2.2.1.</w:t>
      </w:r>
      <w:r>
        <w:rPr>
          <w:bCs/>
          <w:sz w:val="28"/>
          <w:szCs w:val="28"/>
          <w:lang w:val="uk-UA" w:eastAsia="ru-RU"/>
        </w:rPr>
        <w:t xml:space="preserve"> проведення  інформаційної кампанії  з </w:t>
      </w:r>
      <w:r>
        <w:rPr>
          <w:color w:val="000000"/>
          <w:sz w:val="28"/>
          <w:szCs w:val="28"/>
          <w:lang w:val="uk-UA" w:eastAsia="ru-RU"/>
        </w:rPr>
        <w:t xml:space="preserve">вшанування подвигу учасників Революції Гідності та увічнення пам’яті Героїв Небесної Сотні </w:t>
      </w:r>
      <w:r>
        <w:rPr>
          <w:sz w:val="28"/>
          <w:szCs w:val="28"/>
          <w:lang w:val="uk-UA" w:eastAsia="ru-RU"/>
        </w:rPr>
        <w:t>через сіті-лайти, соціальні мережі;</w:t>
      </w:r>
    </w:p>
    <w:p>
      <w:pPr>
        <w:pStyle w:val="Normal"/>
        <w:jc w:val="both"/>
        <w:rPr/>
      </w:pPr>
      <w:r>
        <w:rPr>
          <w:sz w:val="28"/>
          <w:szCs w:val="28"/>
          <w:lang w:val="uk-UA" w:eastAsia="ru-RU"/>
        </w:rPr>
        <w:t xml:space="preserve">          </w:t>
      </w:r>
      <w:r>
        <w:rPr>
          <w:sz w:val="28"/>
          <w:szCs w:val="28"/>
          <w:lang w:val="uk-UA" w:eastAsia="ru-RU"/>
        </w:rPr>
        <w:t>2.2.2.  придбання квіткової продукції для церемонії покладання.</w:t>
      </w:r>
    </w:p>
    <w:p>
      <w:pPr>
        <w:pStyle w:val="Normal"/>
        <w:jc w:val="both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</w:r>
    </w:p>
    <w:p>
      <w:pPr>
        <w:pStyle w:val="Normal"/>
        <w:jc w:val="both"/>
        <w:rPr>
          <w:color w:val="000000"/>
          <w:spacing w:val="2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</w:t>
      </w:r>
      <w:r>
        <w:rPr>
          <w:sz w:val="28"/>
          <w:szCs w:val="28"/>
          <w:lang w:val="uk-UA" w:eastAsia="ru-RU"/>
        </w:rPr>
        <w:t xml:space="preserve">2.3. </w:t>
      </w:r>
      <w:r>
        <w:rPr>
          <w:color w:val="000000"/>
          <w:spacing w:val="2"/>
          <w:sz w:val="28"/>
          <w:szCs w:val="28"/>
          <w:lang w:val="uk-UA" w:eastAsia="ru-RU"/>
        </w:rPr>
        <w:t xml:space="preserve"> МКП “Добробут” (в.о. директора Сергєєв Р.О.):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 w:eastAsia="ru-RU"/>
        </w:rPr>
        <w:t xml:space="preserve">       </w:t>
      </w:r>
      <w:r>
        <w:rPr>
          <w:color w:val="000000"/>
          <w:spacing w:val="2"/>
          <w:sz w:val="28"/>
          <w:szCs w:val="28"/>
          <w:lang w:val="uk-UA" w:eastAsia="ru-RU"/>
        </w:rPr>
        <w:t>2.3.1.роботи з благоустрою  меморіального  комплексу  “Алея Слави” та стел загиблих учасників АТО,  бульвару ім.Т.Г.Шевченка та території прилеглої до погруддя  Т.Г.Шевченка;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jc w:val="both"/>
        <w:rPr/>
      </w:pPr>
      <w:r>
        <w:rPr>
          <w:color w:val="000000"/>
          <w:spacing w:val="2"/>
          <w:sz w:val="28"/>
          <w:szCs w:val="28"/>
          <w:lang w:val="uk-UA" w:eastAsia="ru-RU"/>
        </w:rPr>
        <w:t xml:space="preserve">      </w:t>
      </w:r>
      <w:r>
        <w:rPr>
          <w:color w:val="000000"/>
          <w:spacing w:val="2"/>
          <w:sz w:val="28"/>
          <w:szCs w:val="28"/>
          <w:lang w:val="uk-UA" w:eastAsia="ru-RU"/>
        </w:rPr>
        <w:t>2.3.2. благоустрій території центрального кладовища та  могил загиблих земляків -учасників АТО.</w:t>
      </w:r>
    </w:p>
    <w:p>
      <w:pPr>
        <w:pStyle w:val="Normal"/>
        <w:jc w:val="both"/>
        <w:rPr/>
      </w:pPr>
      <w:r>
        <w:rPr>
          <w:b/>
          <w:bCs/>
          <w:color w:val="1C1C1C"/>
          <w:spacing w:val="2"/>
          <w:sz w:val="28"/>
          <w:szCs w:val="28"/>
          <w:lang w:val="uk-UA" w:eastAsia="ru-RU"/>
        </w:rPr>
        <w:t>Термін виконання:</w:t>
      </w:r>
      <w:r>
        <w:rPr>
          <w:color w:val="000000"/>
          <w:spacing w:val="2"/>
          <w:sz w:val="28"/>
          <w:szCs w:val="28"/>
          <w:lang w:val="uk-UA" w:eastAsia="ru-RU"/>
        </w:rPr>
        <w:t xml:space="preserve"> до 19.02.2021 р.</w:t>
      </w:r>
    </w:p>
    <w:p>
      <w:pPr>
        <w:pStyle w:val="Normal"/>
        <w:jc w:val="both"/>
        <w:rPr>
          <w:color w:val="000000"/>
          <w:spacing w:val="2"/>
          <w:sz w:val="28"/>
          <w:szCs w:val="28"/>
          <w:lang w:val="uk-UA" w:eastAsia="ru-RU"/>
        </w:rPr>
      </w:pPr>
      <w:r>
        <w:rPr>
          <w:color w:val="000000"/>
          <w:spacing w:val="2"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  <w:lang w:val="uk-UA" w:eastAsia="ru-RU"/>
        </w:rPr>
        <w:t>Прес-службі міського голови (Сізова О.А.)  передбачити висвітлення проведення заходів.</w:t>
      </w:r>
    </w:p>
    <w:p>
      <w:pPr>
        <w:pStyle w:val="Normal"/>
        <w:jc w:val="both"/>
        <w:rPr>
          <w:color w:val="000000"/>
          <w:spacing w:val="2"/>
          <w:sz w:val="28"/>
          <w:szCs w:val="28"/>
          <w:lang w:val="uk-UA" w:eastAsia="ru-RU"/>
        </w:rPr>
      </w:pPr>
      <w:r>
        <w:rPr>
          <w:color w:val="000000"/>
          <w:spacing w:val="2"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bCs/>
          <w:color w:val="000000"/>
          <w:spacing w:val="2"/>
          <w:sz w:val="28"/>
          <w:szCs w:val="28"/>
          <w:lang w:val="uk-UA" w:eastAsia="ru-RU"/>
        </w:rPr>
        <w:t xml:space="preserve">      </w:t>
      </w:r>
      <w:r>
        <w:rPr>
          <w:bCs/>
          <w:color w:val="000000"/>
          <w:spacing w:val="2"/>
          <w:sz w:val="28"/>
          <w:szCs w:val="28"/>
          <w:lang w:val="uk-UA" w:eastAsia="ru-RU"/>
        </w:rPr>
        <w:t>2.5. Відділу бухгалтерського обліку виконкому (Шульга О.П.), головному бухгалтеру відділу культури (Баннікова Н.П.)  фінансування заходів.</w:t>
      </w:r>
    </w:p>
    <w:p>
      <w:pPr>
        <w:pStyle w:val="Normal"/>
        <w:jc w:val="both"/>
        <w:rPr>
          <w:bCs/>
          <w:color w:val="000000"/>
          <w:spacing w:val="2"/>
          <w:sz w:val="28"/>
          <w:szCs w:val="28"/>
          <w:lang w:val="uk-UA" w:eastAsia="ru-RU"/>
        </w:rPr>
      </w:pPr>
      <w:r>
        <w:rPr>
          <w:bCs/>
          <w:color w:val="000000"/>
          <w:spacing w:val="2"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3. </w:t>
      </w:r>
      <w:r>
        <w:rPr>
          <w:rFonts w:eastAsia="Wingdings" w:cs="Liberation Serif;Times New Roma"/>
          <w:color w:val="000000"/>
          <w:kern w:val="2"/>
          <w:sz w:val="28"/>
          <w:lang w:val="uk-UA" w:bidi="hi-IN"/>
        </w:rPr>
        <w:t>Координацію роботи щодо виконання цього розпорядження покласти на відділ культури (Сударєва Т.М.), контроль за виконанням розпорядження покласти  на заступників міського голови за напрямками роботи.</w:t>
      </w:r>
    </w:p>
    <w:p>
      <w:pPr>
        <w:pStyle w:val="Normal"/>
        <w:jc w:val="both"/>
        <w:rPr>
          <w:rFonts w:eastAsia="Wingdings" w:cs="Liberation Serif;Times New Roma"/>
          <w:color w:val="000000"/>
          <w:kern w:val="2"/>
          <w:sz w:val="28"/>
          <w:lang w:val="uk-UA" w:bidi="hi-IN"/>
        </w:rPr>
      </w:pPr>
      <w:r>
        <w:rPr>
          <w:rFonts w:eastAsia="Wingdings" w:cs="Liberation Serif;Times New Roma"/>
          <w:color w:val="000000"/>
          <w:kern w:val="2"/>
          <w:sz w:val="28"/>
          <w:lang w:val="uk-UA" w:bidi="hi-IN"/>
        </w:rPr>
      </w:r>
    </w:p>
    <w:p>
      <w:pPr>
        <w:pStyle w:val="Normal"/>
        <w:jc w:val="both"/>
        <w:rPr>
          <w:rFonts w:eastAsia="Wingdings" w:cs="Liberation Serif;Times New Roma"/>
          <w:color w:val="000000"/>
          <w:kern w:val="2"/>
          <w:sz w:val="28"/>
          <w:lang w:val="uk-UA" w:bidi="hi-IN"/>
        </w:rPr>
      </w:pPr>
      <w:r>
        <w:rPr>
          <w:rFonts w:eastAsia="Wingdings" w:cs="Liberation Serif;Times New Roma"/>
          <w:color w:val="000000"/>
          <w:kern w:val="2"/>
          <w:sz w:val="28"/>
          <w:lang w:val="uk-UA" w:bidi="hi-IN"/>
        </w:rPr>
      </w:r>
    </w:p>
    <w:p>
      <w:pPr>
        <w:pStyle w:val="Normal"/>
        <w:jc w:val="both"/>
        <w:rPr>
          <w:rFonts w:eastAsia="Wingdings" w:cs="Liberation Serif;Times New Roma"/>
          <w:color w:val="000000"/>
          <w:kern w:val="2"/>
          <w:sz w:val="28"/>
          <w:lang w:val="uk-UA" w:bidi="hi-IN"/>
        </w:rPr>
      </w:pPr>
      <w:r>
        <w:rPr>
          <w:rFonts w:eastAsia="Wingdings" w:cs="Liberation Serif;Times New Roma"/>
          <w:color w:val="000000"/>
          <w:kern w:val="2"/>
          <w:sz w:val="28"/>
          <w:lang w:val="uk-UA" w:bidi="hi-IN"/>
        </w:rPr>
      </w:r>
    </w:p>
    <w:p>
      <w:pPr>
        <w:pStyle w:val="Normal"/>
        <w:jc w:val="both"/>
        <w:rPr>
          <w:rFonts w:eastAsia="Wingdings" w:cs="Liberation Serif;Times New Roma"/>
          <w:color w:val="000000"/>
          <w:kern w:val="2"/>
          <w:sz w:val="28"/>
          <w:lang w:val="uk-UA" w:bidi="hi-IN"/>
        </w:rPr>
      </w:pPr>
      <w:r>
        <w:rPr>
          <w:rFonts w:eastAsia="Wingdings" w:cs="Liberation Serif;Times New Roma"/>
          <w:color w:val="000000"/>
          <w:kern w:val="2"/>
          <w:sz w:val="28"/>
          <w:lang w:val="uk-UA" w:bidi="hi-IN"/>
        </w:rPr>
      </w:r>
    </w:p>
    <w:p>
      <w:pPr>
        <w:pStyle w:val="Normal"/>
        <w:jc w:val="both"/>
        <w:rPr>
          <w:rFonts w:eastAsia="Wingdings" w:cs="Liberation Serif;Times New Roma"/>
          <w:color w:val="000000"/>
          <w:kern w:val="2"/>
          <w:sz w:val="28"/>
          <w:lang w:val="uk-UA" w:bidi="hi-IN"/>
        </w:rPr>
      </w:pPr>
      <w:r>
        <w:rPr>
          <w:rFonts w:eastAsia="Wingdings" w:cs="Liberation Serif;Times New Roma"/>
          <w:color w:val="000000"/>
          <w:kern w:val="2"/>
          <w:sz w:val="28"/>
          <w:lang w:val="uk-UA" w:bidi="hi-IN"/>
        </w:rPr>
      </w:r>
    </w:p>
    <w:p>
      <w:pPr>
        <w:pStyle w:val="Normal"/>
        <w:rPr>
          <w:rFonts w:eastAsia="Wingdings" w:cs="Liberation Serif;Times New Roma"/>
          <w:color w:val="000000"/>
          <w:kern w:val="2"/>
          <w:lang w:val="uk-UA" w:bidi="hi-IN"/>
        </w:rPr>
      </w:pPr>
      <w:r>
        <w:rPr>
          <w:rFonts w:eastAsia="Wingdings" w:cs="Liberation Serif;Times New Roma"/>
          <w:color w:val="000000"/>
          <w:kern w:val="2"/>
          <w:lang w:val="uk-UA" w:bidi="hi-IN"/>
        </w:rPr>
      </w:r>
    </w:p>
    <w:p>
      <w:pPr>
        <w:pStyle w:val="Normal"/>
        <w:rPr/>
      </w:pPr>
      <w:r>
        <w:rPr>
          <w:rFonts w:eastAsia="Wingdings" w:cs="Liberation Serif;Times New Roma"/>
          <w:color w:val="000000"/>
          <w:kern w:val="2"/>
          <w:sz w:val="28"/>
          <w:szCs w:val="28"/>
          <w:lang w:val="uk-UA" w:bidi="hi-IN"/>
        </w:rPr>
        <w:t>М</w:t>
      </w:r>
      <w:r>
        <w:rPr>
          <w:sz w:val="28"/>
          <w:szCs w:val="28"/>
          <w:lang w:val="uk-UA"/>
        </w:rPr>
        <w:t xml:space="preserve">іський  голова                                                                                   О.М. Шаповал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lang w:val="uk-UA"/>
        </w:rPr>
        <w:t xml:space="preserve">  </w:t>
      </w:r>
      <w:r>
        <w:rPr>
          <w:lang w:val="uk-UA"/>
        </w:rPr>
        <w:tab/>
        <w:tab/>
        <w:tab/>
        <w:tab/>
        <w:tab/>
        <w:tab/>
        <w:t xml:space="preserve">                   </w:t>
      </w:r>
      <w:r>
        <w:rPr>
          <w:sz w:val="26"/>
          <w:szCs w:val="26"/>
          <w:lang w:val="uk-UA"/>
        </w:rPr>
        <w:t xml:space="preserve"> ЗАТВЕРДЖЕНО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Розпорядження  міського  голови</w:t>
      </w:r>
    </w:p>
    <w:p>
      <w:pPr>
        <w:pStyle w:val="Normal"/>
        <w:rPr/>
      </w:pPr>
      <w:r>
        <w:rPr>
          <w:sz w:val="26"/>
          <w:szCs w:val="26"/>
          <w:lang w:val="uk-UA"/>
        </w:rPr>
        <w:t xml:space="preserve">                                                                                   </w:t>
      </w:r>
      <w:r>
        <w:rPr>
          <w:sz w:val="26"/>
          <w:szCs w:val="26"/>
          <w:lang w:val="uk-UA"/>
        </w:rPr>
        <w:t>15.02.</w:t>
      </w:r>
      <w:r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р</w:t>
      </w:r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28-р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План заходів  до Дня Героїв Небесної Сотні </w:t>
      </w:r>
    </w:p>
    <w:p>
      <w:pPr>
        <w:pStyle w:val="Normal"/>
        <w:tabs>
          <w:tab w:val="clear" w:pos="708"/>
          <w:tab w:val="left" w:pos="180" w:leader="none"/>
        </w:tabs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>у Покровській міській територіальній громаді</w:t>
      </w:r>
    </w:p>
    <w:tbl>
      <w:tblPr>
        <w:tblW w:w="10425" w:type="dxa"/>
        <w:jc w:val="left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3"/>
        <w:gridCol w:w="5556"/>
        <w:gridCol w:w="1924"/>
        <w:gridCol w:w="2481"/>
      </w:tblGrid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Захід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Дата  проведення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Відповідальні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0" w:after="20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Церемонія покладання квітів до погруддя в</w:t>
            </w:r>
            <w:r>
              <w:rPr>
                <w:color w:val="000000"/>
                <w:sz w:val="26"/>
                <w:szCs w:val="26"/>
                <w:lang w:val="uk-UA" w:eastAsia="ru-RU"/>
              </w:rPr>
              <w:t xml:space="preserve">идатному діячу українського державотворення  Т.Г. Шевченку </w:t>
            </w:r>
            <w:r>
              <w:rPr>
                <w:bCs/>
                <w:color w:val="000000"/>
                <w:sz w:val="26"/>
                <w:szCs w:val="26"/>
                <w:lang w:val="uk-UA" w:eastAsia="ru-RU"/>
              </w:rPr>
              <w:t xml:space="preserve">та загиблим землякам учасникам АТО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20.02.2021 р.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комітет, гр</w:t>
            </w:r>
            <w:r>
              <w:rPr>
                <w:color w:val="000000"/>
                <w:spacing w:val="2"/>
                <w:sz w:val="26"/>
                <w:szCs w:val="26"/>
                <w:lang w:val="uk-UA" w:eastAsia="ru-RU"/>
              </w:rPr>
              <w:t>омадська організація</w:t>
            </w:r>
          </w:p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pacing w:val="2"/>
                <w:sz w:val="26"/>
                <w:szCs w:val="26"/>
                <w:lang w:val="uk-UA" w:eastAsia="ru-RU"/>
              </w:rPr>
              <w:t>“</w:t>
            </w:r>
            <w:r>
              <w:rPr>
                <w:color w:val="000000"/>
                <w:spacing w:val="2"/>
                <w:sz w:val="26"/>
                <w:szCs w:val="26"/>
                <w:lang w:val="uk-UA" w:eastAsia="ru-RU"/>
              </w:rPr>
              <w:t>Міська спілка воїнів учасників антитерористичної операції м.Покров” (за згодою)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111111"/>
                <w:sz w:val="26"/>
                <w:szCs w:val="26"/>
              </w:rPr>
              <w:t>Показ документального фільму “Трохи нижче неба” Руслана Горового та Михайла Ухмана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18.02.2021р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10.00.год.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21.02.2021р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18.20.год.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Відділ </w:t>
            </w:r>
            <w:r>
              <w:rPr>
                <w:sz w:val="26"/>
                <w:szCs w:val="26"/>
                <w:lang w:val="uk-UA"/>
              </w:rPr>
              <w:t>молоді та спорту, управління освіти, відділ культури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>Популяризація музичного проєкту “Так працює пам'ять”  на вшанування пам'яті юного патріота Дані Дідіка</w:t>
            </w:r>
          </w:p>
          <w:p>
            <w:pPr>
              <w:pStyle w:val="Normal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лютий</w:t>
            </w:r>
          </w:p>
          <w:p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2021 р.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Відділ молоді та спорту</w:t>
            </w:r>
          </w:p>
        </w:tc>
      </w:tr>
      <w:tr>
        <w:trPr>
          <w:trHeight w:val="1049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fill="FFFFFF" w:val="clear"/>
                <w:lang w:val="uk-UA"/>
              </w:rPr>
              <w:t>Проведення тематичних виховних заходів з вшанування подвигу учасників Революції Гідності та увічнення пам'яті Героїв Небесної Сотні у закладах освіти та культури: години спілкування, уроки-реквієми, читання поезії, музичні композиції, оформлення тематичних  виставок літератури, малюнків, плакатів, фотовиставок, екскурсій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>з 18 .02.</w:t>
            </w:r>
          </w:p>
          <w:p>
            <w:pPr>
              <w:pStyle w:val="Normal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>2021р.</w:t>
            </w:r>
          </w:p>
          <w:p>
            <w:pPr>
              <w:pStyle w:val="Normal"/>
              <w:jc w:val="center"/>
              <w:rPr>
                <w:color w:val="111111"/>
                <w:sz w:val="26"/>
                <w:szCs w:val="26"/>
                <w:lang w:val="uk-UA"/>
              </w:rPr>
            </w:pPr>
            <w:r>
              <w:rPr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>Управління освіти,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 xml:space="preserve">ДПТНЗ “Покровський   центр   підготовки та перепідготовки робітничих кадрів” (за згодою), відділ культури </w:t>
            </w:r>
          </w:p>
          <w:p>
            <w:pPr>
              <w:pStyle w:val="Normal"/>
              <w:rPr>
                <w:color w:val="111111"/>
                <w:sz w:val="26"/>
                <w:szCs w:val="26"/>
                <w:lang w:val="uk-UA"/>
              </w:rPr>
            </w:pPr>
            <w:r>
              <w:rPr>
                <w:color w:val="111111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fill="FFFFFF" w:val="clear"/>
                <w:lang w:val="uk-UA"/>
              </w:rPr>
              <w:t>Проведення демонстраційних документальних фільмів присвячених подвигу Революції Гідності на уроках історії, виховних годинах</w:t>
            </w:r>
            <w:r>
              <w:rPr>
                <w:color w:val="111111"/>
                <w:sz w:val="26"/>
                <w:szCs w:val="26"/>
                <w:shd w:fill="FFFFFF" w:val="clear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color w:val="111111"/>
                <w:sz w:val="26"/>
                <w:szCs w:val="26"/>
                <w:highlight w:val="white"/>
              </w:rPr>
            </w:pPr>
            <w:r>
              <w:rPr>
                <w:color w:val="111111"/>
                <w:sz w:val="26"/>
                <w:szCs w:val="26"/>
                <w:highlight w:val="white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З 17.02.  2021р.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>Управління освіти,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uk-UA"/>
              </w:rPr>
              <w:t>ДПТНЗ “Покровський   центр   підготовки та перепідготовки робітничих кадрів” (за згодою)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6"/>
                <w:szCs w:val="26"/>
                <w:lang w:val="uk-UA"/>
              </w:rPr>
            </w:pPr>
            <w:r>
              <w:rPr>
                <w:color w:val="212529"/>
                <w:sz w:val="26"/>
                <w:szCs w:val="26"/>
                <w:lang w:val="uk-UA"/>
              </w:rPr>
              <w:t>Перегляд документального фільму на вшанування пам'яті Дані Дідка, який  загинув 23 лютого 2015 р. після теракту під час Маршу Єдності у Харкові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22-23.02. 2021р.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Управління освіти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>Начальник відділу культури                                                          Т.М.Сударєва</w:t>
      </w:r>
    </w:p>
    <w:p>
      <w:pPr>
        <w:pStyle w:val="Normal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    </w:t>
      </w:r>
    </w:p>
    <w:sectPr>
      <w:headerReference w:type="default" r:id="rId3"/>
      <w:type w:val="nextPage"/>
      <w:pgSz w:w="11906" w:h="16838"/>
      <w:pgMar w:left="1701" w:right="567" w:header="547" w:top="110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column">
                <wp:posOffset>5580380</wp:posOffset>
              </wp:positionH>
              <wp:positionV relativeFrom="paragraph">
                <wp:posOffset>-40640</wp:posOffset>
              </wp:positionV>
              <wp:extent cx="579755" cy="176530"/>
              <wp:effectExtent l="0" t="0" r="0" b="0"/>
              <wp:wrapNone/>
              <wp:docPr id="6" name="Фігур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24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="Liberation Serif" w:hAnsi="Liberation Serif" w:eastAsia="NSimSun" w:cs="Arial"/>
                              <w:lang w:val="uk-UA" w:bidi="hi-IN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3" stroked="f" style="position:absolute;margin-left:439.4pt;margin-top:-3.2pt;width:45.55pt;height:13.8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rFonts w:ascii="Liberation Serif" w:hAnsi="Liberation Serif" w:eastAsia="NSimSun" w:cs="Arial"/>
                        <w:lang w:val="uk-UA" w:bidi="hi-IN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81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rFonts w:ascii="Times New Roman" w:hAnsi="Times New Roman" w:eastAsia="Times New Roman" w:cs="Times New Roman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Rvts70" w:customStyle="1">
    <w:name w:val="rvts70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Rvts66" w:customStyle="1">
    <w:name w:val="rvts66"/>
    <w:basedOn w:val="DefaultParagraphFont"/>
    <w:qFormat/>
    <w:rPr/>
  </w:style>
  <w:style w:type="character" w:styleId="Rvts23" w:customStyle="1">
    <w:name w:val="rvts23"/>
    <w:basedOn w:val="DefaultParagraphFont"/>
    <w:qFormat/>
    <w:rPr/>
  </w:style>
  <w:style w:type="character" w:styleId="Style13" w:customStyle="1">
    <w:name w:val="Гіперпосилання"/>
    <w:rPr>
      <w:color w:val="0000FF"/>
      <w:u w:val="single"/>
    </w:rPr>
  </w:style>
  <w:style w:type="character" w:styleId="Style14" w:customStyle="1">
    <w:name w:val="Виділення жирним"/>
    <w:qFormat/>
    <w:rPr>
      <w:b/>
      <w:bCs/>
    </w:rPr>
  </w:style>
  <w:style w:type="character" w:styleId="Style15" w:customStyle="1">
    <w:name w:val="Виділення"/>
    <w:qFormat/>
    <w:rPr>
      <w:i/>
      <w:i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lang w:val="uk-U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Rvps17" w:customStyle="1">
    <w:name w:val="rvps17"/>
    <w:basedOn w:val="Normal"/>
    <w:qFormat/>
    <w:pPr>
      <w:spacing w:before="280" w:after="280"/>
    </w:pPr>
    <w:rPr/>
  </w:style>
  <w:style w:type="paragraph" w:styleId="Rvps6" w:customStyle="1">
    <w:name w:val="rvps6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BodyText2">
    <w:name w:val="Body Text 2"/>
    <w:basedOn w:val="Normal"/>
    <w:qFormat/>
    <w:pPr>
      <w:widowControl w:val="false"/>
      <w:ind w:firstLine="720"/>
      <w:jc w:val="center"/>
    </w:pPr>
    <w:rPr>
      <w:rFonts w:eastAsia="Andale Sans UI;Arial Unicode MS"/>
      <w:kern w:val="2"/>
      <w:szCs w:val="20"/>
    </w:rPr>
  </w:style>
  <w:style w:type="paragraph" w:styleId="Style23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Application>LibreOffice/6.1.4.2$Windows_x86 LibreOffice_project/9d0f32d1f0b509096fd65e0d4bec26ddd1938fd3</Application>
  <Pages>4</Pages>
  <Words>496</Words>
  <Characters>3551</Characters>
  <CharactersWithSpaces>4743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2019-01-17T16:16:00Z</dcterms:created>
  <dc:creator>Відділ культури</dc:creator>
  <dc:description/>
  <dc:language>uk-UA</dc:language>
  <cp:lastModifiedBy/>
  <cp:lastPrinted>2021-02-15T08:55:17Z</cp:lastPrinted>
  <dcterms:modified xsi:type="dcterms:W3CDTF">2021-02-15T13:08:33Z</dcterms:modified>
  <cp:revision>61</cp:revision>
  <dc:subject/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