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5224145</wp:posOffset>
                </wp:positionH>
                <wp:positionV relativeFrom="paragraph">
                  <wp:posOffset>-309880</wp:posOffset>
                </wp:positionV>
                <wp:extent cx="591185" cy="172085"/>
                <wp:effectExtent l="0" t="0" r="0" b="0"/>
                <wp:wrapNone/>
                <wp:docPr id="1" name="Фігура1"/>
                <a:graphic xmlns:a="http://schemas.openxmlformats.org/drawingml/2006/main">
                  <a:graphicData uri="http://schemas.microsoft.com/office/word/2010/wordprocessingShape">
                    <wps:wsp>
                      <wps:cNvSpPr txBox="1"/>
                      <wps:spPr>
                        <a:xfrm>
                          <a:off x="0" y="0"/>
                          <a:ext cx="59040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1.35pt;margin-top:-24.4pt;width:46.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20 травня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236</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рекламної конструкції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 районі будинку №14 по вул. Центральній</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Ткаченко Я.П.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Ткаченка Яна Петровича щодо продовження дії дозволу на розміщення рекламної конструкції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Ткаченку Яну Петровичу дію </w:t>
      </w:r>
      <w:r>
        <w:rPr>
          <w:rFonts w:cs="Times New Roman" w:ascii="Times New Roman" w:hAnsi="Times New Roman"/>
          <w:bCs/>
          <w:sz w:val="26"/>
          <w:szCs w:val="26"/>
          <w:lang w:val="uk-UA"/>
        </w:rPr>
        <w:t>дозволу на розміщення рекламної конструкції сіті-лайту в районі будинку № 14 по вул. Центральній до 01 травня 2024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Ткаченка Я.П.: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1</Pages>
  <Words>296</Words>
  <Characters>1942</Characters>
  <CharactersWithSpaces>2326</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2021-05-07T10:57:00Z</dcterms:created>
  <dc:creator>digital_PC</dc:creator>
  <dc:description/>
  <dc:language>uk-UA</dc:language>
  <cp:lastModifiedBy/>
  <cp:lastPrinted>2021-04-12T05:55:00Z</cp:lastPrinted>
  <dcterms:modified xsi:type="dcterms:W3CDTF">2021-05-27T15:34:52Z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